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D30A0" w14:textId="6C03CEB9" w:rsidR="00607A19" w:rsidRPr="00607A19" w:rsidRDefault="00607A19" w:rsidP="00607A19">
      <w:pPr>
        <w:jc w:val="center"/>
        <w:rPr>
          <w:b/>
          <w:bCs/>
          <w:sz w:val="28"/>
          <w:szCs w:val="28"/>
        </w:rPr>
      </w:pPr>
      <w:r w:rsidRPr="00607A19">
        <w:rPr>
          <w:b/>
          <w:bCs/>
          <w:sz w:val="28"/>
          <w:szCs w:val="28"/>
        </w:rPr>
        <w:t>Gesellschafter einer US-Gesellschaft und der Corporate Transparency Act</w:t>
      </w:r>
      <w:r>
        <w:rPr>
          <w:b/>
          <w:bCs/>
          <w:sz w:val="28"/>
          <w:szCs w:val="28"/>
        </w:rPr>
        <w:br/>
        <w:t>– Offenlegung des Begünstigten – (</w:t>
      </w:r>
      <w:proofErr w:type="spellStart"/>
      <w:r>
        <w:rPr>
          <w:b/>
          <w:bCs/>
          <w:sz w:val="28"/>
          <w:szCs w:val="28"/>
        </w:rPr>
        <w:t>Beneficial</w:t>
      </w:r>
      <w:proofErr w:type="spellEnd"/>
      <w:r>
        <w:rPr>
          <w:b/>
          <w:bCs/>
          <w:sz w:val="28"/>
          <w:szCs w:val="28"/>
        </w:rPr>
        <w:t xml:space="preserve"> </w:t>
      </w:r>
      <w:proofErr w:type="spellStart"/>
      <w:r>
        <w:rPr>
          <w:b/>
          <w:bCs/>
          <w:sz w:val="28"/>
          <w:szCs w:val="28"/>
        </w:rPr>
        <w:t>Owner</w:t>
      </w:r>
      <w:proofErr w:type="spellEnd"/>
      <w:r>
        <w:rPr>
          <w:b/>
          <w:bCs/>
          <w:sz w:val="28"/>
          <w:szCs w:val="28"/>
        </w:rPr>
        <w:t xml:space="preserve"> Information) –</w:t>
      </w:r>
    </w:p>
    <w:p w14:paraId="5AF854B2" w14:textId="77777777" w:rsidR="00607A19" w:rsidRDefault="00607A19" w:rsidP="00E435B3"/>
    <w:p w14:paraId="2B8D4A92" w14:textId="71BE0AA1" w:rsidR="00D26566" w:rsidRDefault="00D26566" w:rsidP="00D26566">
      <w:pPr>
        <w:spacing w:after="160" w:line="278" w:lineRule="auto"/>
      </w:pPr>
      <w:r>
        <w:t>Das neue US-</w:t>
      </w:r>
      <w:r w:rsidRPr="00D26566">
        <w:t>Unternehmenstransparenzgesetz</w:t>
      </w:r>
      <w:r>
        <w:t xml:space="preserve"> (</w:t>
      </w:r>
      <w:r w:rsidRPr="0047461D">
        <w:t xml:space="preserve">Corporate Transparency Act </w:t>
      </w:r>
      <w:r>
        <w:t>– „</w:t>
      </w:r>
      <w:r w:rsidRPr="0047461D">
        <w:t>CTA</w:t>
      </w:r>
      <w:r>
        <w:t>“</w:t>
      </w:r>
      <w:r w:rsidR="00912D45">
        <w:t>,</w:t>
      </w:r>
      <w:r w:rsidR="00BC2EAB">
        <w:t xml:space="preserve"> 31 U.S.C. 5336</w:t>
      </w:r>
      <w:r w:rsidRPr="0047461D">
        <w:t>)</w:t>
      </w:r>
      <w:r>
        <w:t xml:space="preserve"> ist Teil des</w:t>
      </w:r>
      <w:r w:rsidRPr="00D26566">
        <w:t xml:space="preserve"> </w:t>
      </w:r>
      <w:r>
        <w:t xml:space="preserve">US-Gesetzes gegen Geldwäsche (Anti-Money </w:t>
      </w:r>
      <w:proofErr w:type="spellStart"/>
      <w:r>
        <w:t>Laundering</w:t>
      </w:r>
      <w:proofErr w:type="spellEnd"/>
      <w:r>
        <w:t xml:space="preserve"> Act </w:t>
      </w:r>
      <w:proofErr w:type="spellStart"/>
      <w:r>
        <w:t>of</w:t>
      </w:r>
      <w:proofErr w:type="spellEnd"/>
      <w:r>
        <w:t xml:space="preserve"> 2000). Es </w:t>
      </w:r>
      <w:r w:rsidR="00574541">
        <w:t xml:space="preserve">verpflichtet viele US-Gesellschaften oder solche ausländischen Gesellschaften mit Registrierung in den USA, Informationen über </w:t>
      </w:r>
      <w:r w:rsidR="003242B1">
        <w:t xml:space="preserve">die Gesellschaft und </w:t>
      </w:r>
      <w:r w:rsidR="00574541">
        <w:t>die wirtschaftlich berechtigten Personen</w:t>
      </w:r>
      <w:r w:rsidR="003242B1">
        <w:t>/Eigentümer</w:t>
      </w:r>
      <w:r w:rsidR="00574541">
        <w:t xml:space="preserve"> (</w:t>
      </w:r>
      <w:proofErr w:type="spellStart"/>
      <w:r w:rsidR="00574541">
        <w:t>beneficial</w:t>
      </w:r>
      <w:proofErr w:type="spellEnd"/>
      <w:r w:rsidR="00574541">
        <w:t xml:space="preserve"> </w:t>
      </w:r>
      <w:proofErr w:type="spellStart"/>
      <w:r w:rsidR="00574541">
        <w:t>owners</w:t>
      </w:r>
      <w:proofErr w:type="spellEnd"/>
      <w:r w:rsidR="00574541">
        <w:t xml:space="preserve">) gegenüber dem Financial Crimes </w:t>
      </w:r>
      <w:proofErr w:type="spellStart"/>
      <w:r w:rsidR="00574541">
        <w:t>Enforcement</w:t>
      </w:r>
      <w:proofErr w:type="spellEnd"/>
      <w:r w:rsidR="00574541">
        <w:t xml:space="preserve"> Network (</w:t>
      </w:r>
      <w:proofErr w:type="spellStart"/>
      <w:r w:rsidR="00574541">
        <w:t>FinCEN</w:t>
      </w:r>
      <w:proofErr w:type="spellEnd"/>
      <w:r w:rsidR="00574541">
        <w:t>)</w:t>
      </w:r>
      <w:r w:rsidR="00A53B88">
        <w:t>,</w:t>
      </w:r>
      <w:r w:rsidR="00574541">
        <w:t xml:space="preserve"> einer</w:t>
      </w:r>
      <w:r w:rsidR="00574541" w:rsidRPr="00D26566">
        <w:t xml:space="preserve"> Behörde des amerikanischen Finanzministeriums</w:t>
      </w:r>
      <w:r w:rsidR="00574541">
        <w:t>, offenzulegen.</w:t>
      </w:r>
      <w:r w:rsidR="00A53B88">
        <w:t xml:space="preserve"> Nach Ansicht des Gesetzgebers sind diese Vorschriften von erheblicher Bedeutung, um</w:t>
      </w:r>
      <w:r w:rsidR="00A53B88" w:rsidRPr="0047461D">
        <w:t xml:space="preserve"> Geldwäsche, Terrorismusfinanzierung und andere illegale Aktivitäten zu verhindern, indem die Transparenz in Unternehmensstrukturen erhöht wird.</w:t>
      </w:r>
      <w:r w:rsidR="00A53B88">
        <w:t xml:space="preserve"> </w:t>
      </w:r>
    </w:p>
    <w:p w14:paraId="566D8051" w14:textId="3D647EBD" w:rsidR="00160594" w:rsidRDefault="00160594" w:rsidP="00160594">
      <w:pPr>
        <w:pStyle w:val="berschrift2"/>
      </w:pPr>
      <w:proofErr w:type="spellStart"/>
      <w:r>
        <w:t>Informationsermittlung</w:t>
      </w:r>
      <w:proofErr w:type="spellEnd"/>
      <w:r>
        <w:t xml:space="preserve"> und </w:t>
      </w:r>
      <w:proofErr w:type="spellStart"/>
      <w:r>
        <w:t>Berichtsprozess</w:t>
      </w:r>
      <w:proofErr w:type="spellEnd"/>
    </w:p>
    <w:p w14:paraId="59048EA9" w14:textId="41E081E9" w:rsidR="00D26566" w:rsidRDefault="00A53B88" w:rsidP="00E435B3">
      <w:r w:rsidRPr="0047461D">
        <w:t xml:space="preserve">Im Folgenden sind die wichtigsten Überlegungen und Punkte aufgeführt, die eine </w:t>
      </w:r>
      <w:r>
        <w:t xml:space="preserve">dieser Berichtspflicht unterliegende Gesellschaft </w:t>
      </w:r>
      <w:r w:rsidRPr="0047461D">
        <w:t xml:space="preserve">bei der Erfüllung ihrer Verpflichtungen </w:t>
      </w:r>
      <w:r>
        <w:t>nach</w:t>
      </w:r>
      <w:r w:rsidRPr="0047461D">
        <w:t xml:space="preserve"> dem CTA berücksichtigen sollte:</w:t>
      </w:r>
    </w:p>
    <w:p w14:paraId="3794909A" w14:textId="699011D0" w:rsidR="00233C63" w:rsidRPr="0047461D" w:rsidRDefault="00233C63" w:rsidP="00233C63">
      <w:pPr>
        <w:pStyle w:val="berschrift3"/>
      </w:pPr>
      <w:r w:rsidRPr="0047461D">
        <w:t>1. Identifizierung des Status de</w:t>
      </w:r>
      <w:r w:rsidR="00976F57">
        <w:t>r</w:t>
      </w:r>
      <w:r w:rsidRPr="0047461D">
        <w:t xml:space="preserve"> berichtenden </w:t>
      </w:r>
      <w:r w:rsidR="00976F57">
        <w:t>Gesellschaft</w:t>
      </w:r>
    </w:p>
    <w:p w14:paraId="7A083074" w14:textId="740E8DE9" w:rsidR="00233C63" w:rsidRDefault="00D26566" w:rsidP="00D26566">
      <w:pPr>
        <w:spacing w:after="160" w:line="278" w:lineRule="auto"/>
      </w:pPr>
      <w:r w:rsidRPr="0047461D">
        <w:t>Der erste wichtige Schritt besteht darin, festzustellen, ob d</w:t>
      </w:r>
      <w:r w:rsidR="00976F57">
        <w:t>ie</w:t>
      </w:r>
      <w:r w:rsidRPr="0047461D">
        <w:t xml:space="preserve"> </w:t>
      </w:r>
      <w:r w:rsidR="00976F57">
        <w:t xml:space="preserve">Gesellschaft </w:t>
      </w:r>
      <w:r w:rsidRPr="0047461D">
        <w:t xml:space="preserve">als „berichtende </w:t>
      </w:r>
      <w:r w:rsidR="00233C63">
        <w:t>Gesellschaft</w:t>
      </w:r>
      <w:r w:rsidRPr="0047461D">
        <w:t>“</w:t>
      </w:r>
      <w:r w:rsidR="002B3BF2">
        <w:t xml:space="preserve"> (</w:t>
      </w:r>
      <w:proofErr w:type="spellStart"/>
      <w:r w:rsidR="002B3BF2">
        <w:t>reporting</w:t>
      </w:r>
      <w:proofErr w:type="spellEnd"/>
      <w:r w:rsidR="002B3BF2">
        <w:t xml:space="preserve"> </w:t>
      </w:r>
      <w:proofErr w:type="spellStart"/>
      <w:r w:rsidR="002B3BF2">
        <w:t>company</w:t>
      </w:r>
      <w:proofErr w:type="spellEnd"/>
      <w:r w:rsidR="002B3BF2">
        <w:t>)</w:t>
      </w:r>
      <w:r w:rsidRPr="0047461D">
        <w:t xml:space="preserve"> im Sinne des CTA gilt. Die Definition umfasst die meisten US-Unternehmen</w:t>
      </w:r>
      <w:r w:rsidR="00976F57">
        <w:t>sformen, wie z. B.</w:t>
      </w:r>
      <w:r w:rsidRPr="0047461D">
        <w:t xml:space="preserve"> </w:t>
      </w:r>
      <w:r w:rsidR="00233C63">
        <w:t xml:space="preserve">Kapitalgesellschaften (Corporations), </w:t>
      </w:r>
      <w:r w:rsidRPr="0047461D">
        <w:t xml:space="preserve">Gesellschaften mit beschränkter Haftung (Limited </w:t>
      </w:r>
      <w:proofErr w:type="spellStart"/>
      <w:r w:rsidRPr="0047461D">
        <w:t>Liability</w:t>
      </w:r>
      <w:proofErr w:type="spellEnd"/>
      <w:r w:rsidRPr="0047461D">
        <w:t xml:space="preserve"> Companies, LLCs) und ähnliche Unternehmen, die durch eine Einreichung bei einem Staatssekretär oder einem ähnlichen Amt gegründet wurden. </w:t>
      </w:r>
    </w:p>
    <w:p w14:paraId="22EF32C1" w14:textId="092FD90C" w:rsidR="00233C63" w:rsidRDefault="00233C63" w:rsidP="00B02176">
      <w:pPr>
        <w:spacing w:after="160" w:line="278" w:lineRule="auto"/>
        <w:ind w:left="708"/>
      </w:pPr>
      <w:r w:rsidRPr="00233C63">
        <w:rPr>
          <w:b/>
          <w:bCs/>
        </w:rPr>
        <w:t>Hinweis</w:t>
      </w:r>
      <w:r>
        <w:t xml:space="preserve">: Von der Berichtspflicht erfasst sind daher auch Personengesellschaftsformen wie die Limited Partnership (LP) und die Limited </w:t>
      </w:r>
      <w:proofErr w:type="spellStart"/>
      <w:r>
        <w:t>Liability</w:t>
      </w:r>
      <w:proofErr w:type="spellEnd"/>
      <w:r>
        <w:t xml:space="preserve"> Partnership (L</w:t>
      </w:r>
      <w:r w:rsidR="00912D45">
        <w:t>LP</w:t>
      </w:r>
      <w:r>
        <w:t>)</w:t>
      </w:r>
      <w:r w:rsidR="00976F57">
        <w:t>, da ihre Gründung grds. irgendeine staatliche Registrierung erfordert</w:t>
      </w:r>
      <w:r>
        <w:t xml:space="preserve">. Nicht erfasst von der Berichtspflicht dürfte wohl die </w:t>
      </w:r>
      <w:r w:rsidR="004207E5">
        <w:t xml:space="preserve">Sole </w:t>
      </w:r>
      <w:proofErr w:type="spellStart"/>
      <w:r w:rsidR="004207E5">
        <w:t>Proprietorship</w:t>
      </w:r>
      <w:proofErr w:type="spellEnd"/>
      <w:r w:rsidR="004207E5">
        <w:t xml:space="preserve"> (ähnlich dem Einzelkaufmann) und die </w:t>
      </w:r>
      <w:r>
        <w:t>General Partnership (GP) sein, da sie ohne staatliche Registrierung entstehen und bestehen kann; wie</w:t>
      </w:r>
      <w:r w:rsidR="00AD7E31">
        <w:t xml:space="preserve"> z. B.</w:t>
      </w:r>
      <w:r>
        <w:t xml:space="preserve"> die</w:t>
      </w:r>
      <w:r w:rsidR="00976F57">
        <w:t xml:space="preserve"> ihr ähnlichen deutschen Rechtsformen </w:t>
      </w:r>
      <w:r>
        <w:t xml:space="preserve">GbR </w:t>
      </w:r>
      <w:r w:rsidR="00912D45">
        <w:t xml:space="preserve">oder </w:t>
      </w:r>
      <w:proofErr w:type="spellStart"/>
      <w:r w:rsidR="00912D45">
        <w:t>oHG</w:t>
      </w:r>
      <w:proofErr w:type="spellEnd"/>
      <w:r>
        <w:t xml:space="preserve">. </w:t>
      </w:r>
    </w:p>
    <w:p w14:paraId="236B516F" w14:textId="765E3D7F" w:rsidR="00D26566" w:rsidRPr="0047461D" w:rsidRDefault="00D26566" w:rsidP="00D26566">
      <w:pPr>
        <w:spacing w:after="160" w:line="278" w:lineRule="auto"/>
      </w:pPr>
      <w:r w:rsidRPr="0047461D">
        <w:t xml:space="preserve">Ausländische </w:t>
      </w:r>
      <w:r w:rsidR="00912D45">
        <w:t>Gesellschaften</w:t>
      </w:r>
      <w:r w:rsidRPr="0047461D">
        <w:t xml:space="preserve">, die für </w:t>
      </w:r>
      <w:r w:rsidR="00912D45">
        <w:t>ihre</w:t>
      </w:r>
      <w:r w:rsidRPr="0047461D">
        <w:t xml:space="preserve"> Geschäftstätigkeit in den USA registriert sind, gelten ebenfalls als berichtende </w:t>
      </w:r>
      <w:r w:rsidR="00B02176">
        <w:t>Gesellschaften</w:t>
      </w:r>
      <w:r w:rsidRPr="0047461D">
        <w:t>.</w:t>
      </w:r>
      <w:r w:rsidR="00233C63">
        <w:t xml:space="preserve"> </w:t>
      </w:r>
    </w:p>
    <w:p w14:paraId="4CB9D384" w14:textId="368C9FA3" w:rsidR="00D26566" w:rsidRPr="0047461D" w:rsidRDefault="00D26566" w:rsidP="00D26566">
      <w:pPr>
        <w:spacing w:after="160" w:line="278" w:lineRule="auto"/>
      </w:pPr>
      <w:r w:rsidRPr="0047461D">
        <w:rPr>
          <w:b/>
          <w:bCs/>
        </w:rPr>
        <w:t>Ausnahmen</w:t>
      </w:r>
      <w:r w:rsidRPr="0047461D">
        <w:t xml:space="preserve">: </w:t>
      </w:r>
      <w:r w:rsidR="00B02176">
        <w:t>Zahlreiche Gesellschaften</w:t>
      </w:r>
      <w:r w:rsidRPr="0047461D">
        <w:t xml:space="preserve"> sind von der Berichterstattung gemäß dem CTA ausgenommen, darunter gr</w:t>
      </w:r>
      <w:r w:rsidR="00B02176">
        <w:t>ö</w:t>
      </w:r>
      <w:r w:rsidRPr="0047461D">
        <w:t>ße</w:t>
      </w:r>
      <w:r w:rsidR="00B02176">
        <w:t>re</w:t>
      </w:r>
      <w:r w:rsidRPr="0047461D">
        <w:t xml:space="preserve"> </w:t>
      </w:r>
      <w:r w:rsidR="00B02176">
        <w:t>Gesellschafte</w:t>
      </w:r>
      <w:r w:rsidRPr="0047461D">
        <w:t xml:space="preserve">n (mit mehr als 20 Mitarbeitern, 5 Millionen US-Dollar Bruttoeinnahmen und einer physischen Präsenz in den USA), regulierte </w:t>
      </w:r>
      <w:r w:rsidR="00976F57">
        <w:t>Gesellschaften</w:t>
      </w:r>
      <w:r w:rsidRPr="0047461D">
        <w:t xml:space="preserve"> (wie Banken</w:t>
      </w:r>
      <w:r w:rsidR="00AB7DFA">
        <w:t xml:space="preserve"> oder Versicherungen</w:t>
      </w:r>
      <w:r w:rsidRPr="0047461D">
        <w:t xml:space="preserve">) und inaktive </w:t>
      </w:r>
      <w:r w:rsidR="00976F57">
        <w:t>Gesellschaften</w:t>
      </w:r>
      <w:r w:rsidR="00B02176">
        <w:t xml:space="preserve">; siehe </w:t>
      </w:r>
      <w:r w:rsidRPr="0047461D">
        <w:t>CTA §</w:t>
      </w:r>
      <w:r w:rsidR="00BC2EAB">
        <w:t> </w:t>
      </w:r>
      <w:r w:rsidRPr="0047461D">
        <w:t>5336(b)(2)</w:t>
      </w:r>
      <w:r w:rsidR="00B02176">
        <w:t xml:space="preserve"> </w:t>
      </w:r>
      <w:r w:rsidR="00BC2EAB">
        <w:t xml:space="preserve">und </w:t>
      </w:r>
      <w:r w:rsidR="00AB7DFA">
        <w:t xml:space="preserve">(den Verwaltungsanweisungen) </w:t>
      </w:r>
      <w:r w:rsidR="00BC2EAB">
        <w:t>Treasury Regulation</w:t>
      </w:r>
      <w:r w:rsidR="00AB7DFA">
        <w:t>s</w:t>
      </w:r>
      <w:r w:rsidR="00BC2EAB">
        <w:t xml:space="preserve"> </w:t>
      </w:r>
      <w:r w:rsidR="00AB7DFA">
        <w:t xml:space="preserve">31 CFR 1010.380(c)(2) </w:t>
      </w:r>
      <w:r w:rsidR="00B02176">
        <w:t xml:space="preserve">hinsichtlich der </w:t>
      </w:r>
      <w:r w:rsidR="0098120A">
        <w:t>23 </w:t>
      </w:r>
      <w:r w:rsidR="00AB7DFA">
        <w:t xml:space="preserve">verschiedenen </w:t>
      </w:r>
      <w:r w:rsidR="0098120A">
        <w:t xml:space="preserve">Arten </w:t>
      </w:r>
      <w:r w:rsidRPr="0047461D">
        <w:t>ausgenommene</w:t>
      </w:r>
      <w:r w:rsidR="0098120A">
        <w:t>r</w:t>
      </w:r>
      <w:r w:rsidRPr="0047461D">
        <w:t xml:space="preserve"> </w:t>
      </w:r>
      <w:r w:rsidR="00B02176">
        <w:t>Gesellschaften</w:t>
      </w:r>
      <w:r w:rsidRPr="0047461D">
        <w:t>.</w:t>
      </w:r>
    </w:p>
    <w:p w14:paraId="0FF45FB9" w14:textId="77777777" w:rsidR="00D26566" w:rsidRPr="0047461D" w:rsidRDefault="00D26566" w:rsidP="00B02176">
      <w:pPr>
        <w:pStyle w:val="berschrift3"/>
      </w:pPr>
      <w:r w:rsidRPr="0047461D">
        <w:t>2. Identifizierung des wirtschaftlichen Eigentums</w:t>
      </w:r>
    </w:p>
    <w:p w14:paraId="2D08FDD8" w14:textId="52E586E7" w:rsidR="00D26566" w:rsidRPr="0047461D" w:rsidRDefault="00D26566" w:rsidP="00D26566">
      <w:pPr>
        <w:spacing w:after="160" w:line="278" w:lineRule="auto"/>
      </w:pPr>
      <w:r w:rsidRPr="0047461D">
        <w:t xml:space="preserve">Die Identifizierung und Überprüfung </w:t>
      </w:r>
      <w:r w:rsidR="000B3B45">
        <w:t>der</w:t>
      </w:r>
      <w:r w:rsidR="000B3B45" w:rsidRPr="0047461D">
        <w:t xml:space="preserve"> wirtschaftlichen Eigentümer</w:t>
      </w:r>
      <w:r w:rsidRPr="0047461D">
        <w:t xml:space="preserve"> ist das zentrale Element der CTA-Compliance. Ein wirtschaftlicher Eigentümer ist jede natürliche Person, die:</w:t>
      </w:r>
    </w:p>
    <w:p w14:paraId="4CFF25CE" w14:textId="04FE5C9B" w:rsidR="00D26566" w:rsidRPr="0047461D" w:rsidRDefault="00D26566" w:rsidP="00D26566">
      <w:pPr>
        <w:numPr>
          <w:ilvl w:val="0"/>
          <w:numId w:val="25"/>
        </w:numPr>
        <w:spacing w:after="160" w:line="278" w:lineRule="auto"/>
      </w:pPr>
      <w:r w:rsidRPr="0047461D">
        <w:lastRenderedPageBreak/>
        <w:t>25 % oder mehr der Eigentumsanteile de</w:t>
      </w:r>
      <w:r w:rsidR="004D515A">
        <w:t xml:space="preserve">r Gesellschaft </w:t>
      </w:r>
      <w:r w:rsidRPr="0047461D">
        <w:t>besitzt oder kontrolliert; oder</w:t>
      </w:r>
    </w:p>
    <w:p w14:paraId="735A1D9C" w14:textId="193273B3" w:rsidR="00D26566" w:rsidRPr="0047461D" w:rsidRDefault="00D26566" w:rsidP="00D26566">
      <w:pPr>
        <w:numPr>
          <w:ilvl w:val="0"/>
          <w:numId w:val="25"/>
        </w:numPr>
        <w:spacing w:after="160" w:line="278" w:lineRule="auto"/>
      </w:pPr>
      <w:r w:rsidRPr="0047461D">
        <w:t>eine wesentliche Kontrolle über d</w:t>
      </w:r>
      <w:r w:rsidR="00976F57">
        <w:t>ie</w:t>
      </w:r>
      <w:r w:rsidRPr="0047461D">
        <w:t xml:space="preserve"> </w:t>
      </w:r>
      <w:r w:rsidR="00976F57">
        <w:t>Gesellschaft</w:t>
      </w:r>
      <w:r w:rsidRPr="0047461D">
        <w:t xml:space="preserve"> ausübt.</w:t>
      </w:r>
    </w:p>
    <w:p w14:paraId="172E6663" w14:textId="71AFD67F" w:rsidR="00D26566" w:rsidRPr="0047461D" w:rsidRDefault="00D26566" w:rsidP="00D26566">
      <w:pPr>
        <w:spacing w:after="160" w:line="278" w:lineRule="auto"/>
      </w:pPr>
      <w:r w:rsidRPr="0047461D">
        <w:t xml:space="preserve">Die wesentliche Kontrolle ist weit gefasst und kann Vorstandsmitglieder, leitende Angestellte oder andere einflussreiche Personen innerhalb de </w:t>
      </w:r>
      <w:r w:rsidR="004207E5">
        <w:t>Gesellschaft</w:t>
      </w:r>
      <w:r w:rsidRPr="0047461D">
        <w:t xml:space="preserve"> umfassen. Diese weit gefasste Definition erfordert eine sorgfältige Bewertung der Organisationsstruktur und der einzelnen Rollen, um festzustellen, wer als wirtschaftlicher Eigentümer gilt.</w:t>
      </w:r>
      <w:r w:rsidR="0098120A">
        <w:t xml:space="preserve"> Der Begriff </w:t>
      </w:r>
      <w:r w:rsidR="0098120A" w:rsidRPr="0047461D">
        <w:t>„wirtschaftliche</w:t>
      </w:r>
      <w:r w:rsidR="0098120A">
        <w:t>r</w:t>
      </w:r>
      <w:r w:rsidR="0098120A" w:rsidRPr="0047461D">
        <w:t xml:space="preserve"> Eigentümer“</w:t>
      </w:r>
      <w:r w:rsidR="0098120A">
        <w:t xml:space="preserve"> ist in </w:t>
      </w:r>
      <w:r w:rsidRPr="0047461D">
        <w:t>CTA §</w:t>
      </w:r>
      <w:r w:rsidR="00BC2EAB">
        <w:t> </w:t>
      </w:r>
      <w:r w:rsidRPr="0047461D">
        <w:t xml:space="preserve">5336(a)(3) </w:t>
      </w:r>
      <w:r w:rsidR="00BC2EAB">
        <w:t>und den Verwaltungsvorschriften Treasury Regulations 31 CFR 1010.380(d)</w:t>
      </w:r>
      <w:r w:rsidR="000B3B45">
        <w:t xml:space="preserve"> </w:t>
      </w:r>
      <w:r w:rsidRPr="0047461D">
        <w:t>definiert.</w:t>
      </w:r>
    </w:p>
    <w:p w14:paraId="6A1AA334" w14:textId="784224A7" w:rsidR="00D26566" w:rsidRPr="0047461D" w:rsidRDefault="00D26566" w:rsidP="008D27C6">
      <w:pPr>
        <w:pStyle w:val="berschrift3"/>
      </w:pPr>
      <w:r w:rsidRPr="0047461D">
        <w:t xml:space="preserve">3. Erforderliche Informationen </w:t>
      </w:r>
      <w:r w:rsidR="008D27C6" w:rsidRPr="008D27C6">
        <w:t>über</w:t>
      </w:r>
      <w:r w:rsidRPr="0047461D">
        <w:t xml:space="preserve"> </w:t>
      </w:r>
      <w:r w:rsidR="0003080E">
        <w:t>die Gesellschaft</w:t>
      </w:r>
      <w:r w:rsidR="0003080E" w:rsidRPr="0047461D">
        <w:t xml:space="preserve"> </w:t>
      </w:r>
      <w:r w:rsidR="0003080E">
        <w:t xml:space="preserve">und </w:t>
      </w:r>
      <w:r w:rsidRPr="0047461D">
        <w:t>jeden wirtschaftlichen Eigentümer</w:t>
      </w:r>
      <w:r w:rsidR="000764CA">
        <w:t xml:space="preserve"> </w:t>
      </w:r>
    </w:p>
    <w:p w14:paraId="387BD94F" w14:textId="048E47FD" w:rsidR="0003080E" w:rsidRDefault="0003080E" w:rsidP="0003080E">
      <w:pPr>
        <w:pStyle w:val="berschrift4"/>
      </w:pPr>
      <w:r>
        <w:t>Gesellschaft</w:t>
      </w:r>
    </w:p>
    <w:p w14:paraId="1829A16A" w14:textId="653C3E30" w:rsidR="0003080E" w:rsidRPr="0003080E" w:rsidRDefault="0003080E" w:rsidP="0003080E">
      <w:pPr>
        <w:spacing w:after="160" w:line="278" w:lineRule="auto"/>
      </w:pPr>
      <w:r w:rsidRPr="0003080E">
        <w:t xml:space="preserve">Meldepflichtige </w:t>
      </w:r>
      <w:r w:rsidR="00230D8F">
        <w:t>Gesellschaften</w:t>
      </w:r>
      <w:r w:rsidRPr="0003080E">
        <w:t xml:space="preserve"> müssen </w:t>
      </w:r>
      <w:r w:rsidRPr="0003080E">
        <w:rPr>
          <w:b/>
          <w:bCs/>
        </w:rPr>
        <w:t xml:space="preserve">bei der </w:t>
      </w:r>
      <w:proofErr w:type="spellStart"/>
      <w:r w:rsidRPr="0003080E">
        <w:rPr>
          <w:b/>
          <w:bCs/>
        </w:rPr>
        <w:t>FinCEN</w:t>
      </w:r>
      <w:proofErr w:type="spellEnd"/>
      <w:r w:rsidRPr="0003080E">
        <w:rPr>
          <w:b/>
          <w:bCs/>
        </w:rPr>
        <w:t xml:space="preserve"> einen Bericht mit folgenden Informationen über die Gesellschaft einreichen</w:t>
      </w:r>
      <w:r>
        <w:t>:</w:t>
      </w:r>
    </w:p>
    <w:p w14:paraId="57476714" w14:textId="49A8F6D0" w:rsidR="0003080E" w:rsidRPr="00230D8F" w:rsidRDefault="0003080E" w:rsidP="00230D8F">
      <w:pPr>
        <w:numPr>
          <w:ilvl w:val="0"/>
          <w:numId w:val="26"/>
        </w:numPr>
        <w:spacing w:after="160" w:line="278" w:lineRule="auto"/>
        <w:rPr>
          <w:b/>
          <w:bCs/>
        </w:rPr>
      </w:pPr>
      <w:r w:rsidRPr="00230D8F">
        <w:rPr>
          <w:b/>
          <w:bCs/>
        </w:rPr>
        <w:t>Vollständiger rechtlicher Name</w:t>
      </w:r>
      <w:r w:rsidR="007C7280">
        <w:rPr>
          <w:b/>
          <w:bCs/>
        </w:rPr>
        <w:t xml:space="preserve"> </w:t>
      </w:r>
      <w:r w:rsidR="007C7280" w:rsidRPr="007C7280">
        <w:t>(Firma)</w:t>
      </w:r>
    </w:p>
    <w:p w14:paraId="694A5663" w14:textId="77777777" w:rsidR="0003080E" w:rsidRPr="00230D8F" w:rsidRDefault="0003080E" w:rsidP="00230D8F">
      <w:pPr>
        <w:numPr>
          <w:ilvl w:val="0"/>
          <w:numId w:val="26"/>
        </w:numPr>
        <w:spacing w:after="160" w:line="278" w:lineRule="auto"/>
        <w:rPr>
          <w:b/>
          <w:bCs/>
        </w:rPr>
      </w:pPr>
      <w:r w:rsidRPr="00230D8F">
        <w:rPr>
          <w:b/>
          <w:bCs/>
        </w:rPr>
        <w:t>Alle Handelsnamen oder „</w:t>
      </w:r>
      <w:proofErr w:type="spellStart"/>
      <w:r w:rsidRPr="00230D8F">
        <w:rPr>
          <w:b/>
          <w:bCs/>
        </w:rPr>
        <w:t>Doing</w:t>
      </w:r>
      <w:proofErr w:type="spellEnd"/>
      <w:r w:rsidRPr="00230D8F">
        <w:rPr>
          <w:b/>
          <w:bCs/>
        </w:rPr>
        <w:t xml:space="preserve"> Business As“-Namen (DBA)</w:t>
      </w:r>
    </w:p>
    <w:p w14:paraId="63E0F1EC" w14:textId="27C21D7D" w:rsidR="0003080E" w:rsidRPr="00230D8F" w:rsidRDefault="0003080E" w:rsidP="00230D8F">
      <w:pPr>
        <w:numPr>
          <w:ilvl w:val="0"/>
          <w:numId w:val="26"/>
        </w:numPr>
        <w:spacing w:after="160" w:line="278" w:lineRule="auto"/>
        <w:rPr>
          <w:b/>
          <w:bCs/>
        </w:rPr>
      </w:pPr>
      <w:r w:rsidRPr="00230D8F">
        <w:rPr>
          <w:b/>
          <w:bCs/>
        </w:rPr>
        <w:t>Vollständige aktuelle Adresse des Hauptgeschäftssitzes in den Vereinigten Staaten (</w:t>
      </w:r>
      <w:r w:rsidRPr="00230D8F">
        <w:t xml:space="preserve">bei einem berichtenden </w:t>
      </w:r>
      <w:r w:rsidR="00230D8F" w:rsidRPr="00230D8F">
        <w:t>US-Gesellschaften</w:t>
      </w:r>
      <w:r w:rsidRPr="00230D8F">
        <w:t>)</w:t>
      </w:r>
      <w:r w:rsidRPr="00230D8F">
        <w:rPr>
          <w:b/>
          <w:bCs/>
        </w:rPr>
        <w:t xml:space="preserve"> oder des Hauptstandorts in den Vereinigten Staaten, an dem das Unternehmen geschäftlich tätig ist </w:t>
      </w:r>
      <w:r w:rsidRPr="00230D8F">
        <w:t>(</w:t>
      </w:r>
      <w:proofErr w:type="gramStart"/>
      <w:r w:rsidRPr="00230D8F">
        <w:t xml:space="preserve">bei einem ausländischen berichtenden </w:t>
      </w:r>
      <w:r w:rsidR="00230D8F" w:rsidRPr="00230D8F">
        <w:t>Gesellschaften</w:t>
      </w:r>
      <w:proofErr w:type="gramEnd"/>
      <w:r w:rsidRPr="00230D8F">
        <w:t>)</w:t>
      </w:r>
    </w:p>
    <w:p w14:paraId="47ADE265" w14:textId="0648AE0F" w:rsidR="0003080E" w:rsidRPr="00230D8F" w:rsidRDefault="00230D8F" w:rsidP="00230D8F">
      <w:pPr>
        <w:numPr>
          <w:ilvl w:val="0"/>
          <w:numId w:val="26"/>
        </w:numPr>
        <w:spacing w:after="160" w:line="278" w:lineRule="auto"/>
        <w:rPr>
          <w:b/>
          <w:bCs/>
        </w:rPr>
      </w:pPr>
      <w:r>
        <w:rPr>
          <w:b/>
          <w:bCs/>
        </w:rPr>
        <w:t xml:space="preserve">Recht oder </w:t>
      </w:r>
      <w:r w:rsidR="0003080E" w:rsidRPr="00230D8F">
        <w:rPr>
          <w:b/>
          <w:bCs/>
        </w:rPr>
        <w:t>Gerichtsbarkeit der Gründung</w:t>
      </w:r>
    </w:p>
    <w:p w14:paraId="74D31999" w14:textId="667F52FE" w:rsidR="0003080E" w:rsidRPr="00230D8F" w:rsidRDefault="00230D8F" w:rsidP="00230D8F">
      <w:pPr>
        <w:numPr>
          <w:ilvl w:val="0"/>
          <w:numId w:val="26"/>
        </w:numPr>
        <w:spacing w:after="160" w:line="278" w:lineRule="auto"/>
        <w:rPr>
          <w:b/>
          <w:bCs/>
        </w:rPr>
      </w:pPr>
      <w:r>
        <w:rPr>
          <w:b/>
          <w:bCs/>
        </w:rPr>
        <w:t>US-Bundess</w:t>
      </w:r>
      <w:r w:rsidR="0003080E" w:rsidRPr="00230D8F">
        <w:rPr>
          <w:b/>
          <w:bCs/>
        </w:rPr>
        <w:t>taat oder Stammesgerichtsbarkeit</w:t>
      </w:r>
      <w:r>
        <w:rPr>
          <w:b/>
          <w:bCs/>
        </w:rPr>
        <w:t xml:space="preserve"> (tribal </w:t>
      </w:r>
      <w:proofErr w:type="spellStart"/>
      <w:r>
        <w:rPr>
          <w:b/>
          <w:bCs/>
        </w:rPr>
        <w:t>jurisdiction</w:t>
      </w:r>
      <w:proofErr w:type="spellEnd"/>
      <w:r>
        <w:rPr>
          <w:b/>
          <w:bCs/>
        </w:rPr>
        <w:t>)</w:t>
      </w:r>
      <w:r w:rsidR="0003080E" w:rsidRPr="00230D8F">
        <w:rPr>
          <w:b/>
          <w:bCs/>
        </w:rPr>
        <w:t>, in dem d</w:t>
      </w:r>
      <w:r>
        <w:rPr>
          <w:b/>
          <w:bCs/>
        </w:rPr>
        <w:t>ie</w:t>
      </w:r>
      <w:r w:rsidR="0003080E" w:rsidRPr="00230D8F">
        <w:rPr>
          <w:b/>
          <w:bCs/>
        </w:rPr>
        <w:t xml:space="preserve"> </w:t>
      </w:r>
      <w:r>
        <w:rPr>
          <w:b/>
          <w:bCs/>
        </w:rPr>
        <w:t>Gesellschaft</w:t>
      </w:r>
      <w:r w:rsidR="0003080E" w:rsidRPr="00230D8F">
        <w:rPr>
          <w:b/>
          <w:bCs/>
        </w:rPr>
        <w:t xml:space="preserve"> erstmals </w:t>
      </w:r>
      <w:r>
        <w:rPr>
          <w:b/>
          <w:bCs/>
        </w:rPr>
        <w:t xml:space="preserve">in den USA </w:t>
      </w:r>
      <w:r w:rsidR="0003080E" w:rsidRPr="00230D8F">
        <w:rPr>
          <w:b/>
          <w:bCs/>
        </w:rPr>
        <w:t xml:space="preserve">registriert </w:t>
      </w:r>
      <w:r>
        <w:rPr>
          <w:b/>
          <w:bCs/>
        </w:rPr>
        <w:t>wurde</w:t>
      </w:r>
      <w:r w:rsidR="0003080E" w:rsidRPr="00230D8F">
        <w:rPr>
          <w:b/>
          <w:bCs/>
        </w:rPr>
        <w:t xml:space="preserve"> </w:t>
      </w:r>
      <w:r w:rsidR="0003080E" w:rsidRPr="00230D8F">
        <w:t xml:space="preserve">(bei ausländischen berichtenden </w:t>
      </w:r>
      <w:r w:rsidRPr="00230D8F">
        <w:t>Gesellschaften</w:t>
      </w:r>
      <w:r w:rsidR="0003080E" w:rsidRPr="00230D8F">
        <w:t>)</w:t>
      </w:r>
    </w:p>
    <w:p w14:paraId="718F8915" w14:textId="2C1AC37A" w:rsidR="0003080E" w:rsidRPr="00230D8F" w:rsidRDefault="00230D8F" w:rsidP="00230D8F">
      <w:pPr>
        <w:numPr>
          <w:ilvl w:val="0"/>
          <w:numId w:val="26"/>
        </w:numPr>
        <w:spacing w:after="160" w:line="278" w:lineRule="auto"/>
        <w:rPr>
          <w:b/>
          <w:bCs/>
          <w:lang w:val="en-US"/>
        </w:rPr>
      </w:pPr>
      <w:r w:rsidRPr="00230D8F">
        <w:rPr>
          <w:b/>
          <w:bCs/>
          <w:lang w:val="en-US"/>
        </w:rPr>
        <w:t>US-</w:t>
      </w:r>
      <w:proofErr w:type="spellStart"/>
      <w:r w:rsidR="0003080E" w:rsidRPr="00230D8F">
        <w:rPr>
          <w:b/>
          <w:bCs/>
          <w:lang w:val="en-US"/>
        </w:rPr>
        <w:t>Steueridentifikationsnummer</w:t>
      </w:r>
      <w:proofErr w:type="spellEnd"/>
      <w:r w:rsidRPr="00230D8F">
        <w:rPr>
          <w:b/>
          <w:bCs/>
          <w:lang w:val="en-US"/>
        </w:rPr>
        <w:t xml:space="preserve"> (Employer Identification Number)</w:t>
      </w:r>
    </w:p>
    <w:p w14:paraId="37019732" w14:textId="6E778F02" w:rsidR="0003080E" w:rsidRDefault="0003080E" w:rsidP="0003080E">
      <w:pPr>
        <w:pStyle w:val="berschrift4"/>
      </w:pPr>
      <w:r>
        <w:t>Wirtschaftlicher Eigentümer</w:t>
      </w:r>
    </w:p>
    <w:p w14:paraId="1AF3E76C" w14:textId="36956677" w:rsidR="00D26566" w:rsidRPr="0047461D" w:rsidRDefault="00230D8F" w:rsidP="00D26566">
      <w:pPr>
        <w:spacing w:after="160" w:line="278" w:lineRule="auto"/>
      </w:pPr>
      <w:r w:rsidRPr="007C7280">
        <w:rPr>
          <w:b/>
          <w:bCs/>
        </w:rPr>
        <w:t>Über den/die wirtschaftlichen Eigentümer</w:t>
      </w:r>
      <w:r>
        <w:t xml:space="preserve"> der Gesellschaft</w:t>
      </w:r>
      <w:r w:rsidR="00D26566" w:rsidRPr="0047461D">
        <w:t xml:space="preserve"> müssen </w:t>
      </w:r>
      <w:r>
        <w:rPr>
          <w:b/>
          <w:bCs/>
        </w:rPr>
        <w:t xml:space="preserve">diese Informationen an die </w:t>
      </w:r>
      <w:proofErr w:type="spellStart"/>
      <w:r>
        <w:rPr>
          <w:b/>
          <w:bCs/>
        </w:rPr>
        <w:t>F</w:t>
      </w:r>
      <w:r w:rsidR="007C7280">
        <w:rPr>
          <w:b/>
          <w:bCs/>
        </w:rPr>
        <w:t>inCEN</w:t>
      </w:r>
      <w:proofErr w:type="spellEnd"/>
      <w:r w:rsidR="007C7280">
        <w:rPr>
          <w:b/>
          <w:bCs/>
        </w:rPr>
        <w:t xml:space="preserve"> berichtet werden</w:t>
      </w:r>
      <w:r w:rsidR="00D26566" w:rsidRPr="0047461D">
        <w:t>:</w:t>
      </w:r>
    </w:p>
    <w:p w14:paraId="1A01D26F" w14:textId="77777777" w:rsidR="00D26566" w:rsidRPr="000764CA" w:rsidRDefault="00D26566" w:rsidP="00D26566">
      <w:pPr>
        <w:numPr>
          <w:ilvl w:val="0"/>
          <w:numId w:val="26"/>
        </w:numPr>
        <w:spacing w:after="160" w:line="278" w:lineRule="auto"/>
        <w:rPr>
          <w:b/>
          <w:bCs/>
        </w:rPr>
      </w:pPr>
      <w:r w:rsidRPr="000764CA">
        <w:rPr>
          <w:b/>
          <w:bCs/>
        </w:rPr>
        <w:t>Vollständiger rechtlicher Name</w:t>
      </w:r>
    </w:p>
    <w:p w14:paraId="52F2A8A4" w14:textId="77777777" w:rsidR="00D26566" w:rsidRPr="000764CA" w:rsidRDefault="00D26566" w:rsidP="00D26566">
      <w:pPr>
        <w:numPr>
          <w:ilvl w:val="0"/>
          <w:numId w:val="26"/>
        </w:numPr>
        <w:spacing w:after="160" w:line="278" w:lineRule="auto"/>
        <w:rPr>
          <w:b/>
          <w:bCs/>
        </w:rPr>
      </w:pPr>
      <w:r w:rsidRPr="000764CA">
        <w:rPr>
          <w:b/>
          <w:bCs/>
        </w:rPr>
        <w:t>Geburtsdatum</w:t>
      </w:r>
    </w:p>
    <w:p w14:paraId="423C7DE2" w14:textId="77777777" w:rsidR="00D26566" w:rsidRPr="000764CA" w:rsidRDefault="00D26566" w:rsidP="00D26566">
      <w:pPr>
        <w:numPr>
          <w:ilvl w:val="0"/>
          <w:numId w:val="26"/>
        </w:numPr>
        <w:spacing w:after="160" w:line="278" w:lineRule="auto"/>
        <w:rPr>
          <w:b/>
          <w:bCs/>
        </w:rPr>
      </w:pPr>
      <w:r w:rsidRPr="000764CA">
        <w:rPr>
          <w:b/>
          <w:bCs/>
        </w:rPr>
        <w:t>Aktuelle Wohn- oder Geschäftsadresse</w:t>
      </w:r>
    </w:p>
    <w:p w14:paraId="25B62CEE" w14:textId="5D853B72" w:rsidR="00D26566" w:rsidRPr="000764CA" w:rsidRDefault="00D26566" w:rsidP="00D26566">
      <w:pPr>
        <w:numPr>
          <w:ilvl w:val="0"/>
          <w:numId w:val="26"/>
        </w:numPr>
        <w:spacing w:after="160" w:line="278" w:lineRule="auto"/>
        <w:rPr>
          <w:b/>
          <w:bCs/>
        </w:rPr>
      </w:pPr>
      <w:r w:rsidRPr="000764CA">
        <w:rPr>
          <w:b/>
          <w:bCs/>
        </w:rPr>
        <w:t xml:space="preserve">Eindeutige Identifikationsnummer </w:t>
      </w:r>
      <w:r w:rsidR="000049EE" w:rsidRPr="000764CA">
        <w:rPr>
          <w:b/>
          <w:bCs/>
        </w:rPr>
        <w:t>aus einem hierfür zugelassenen Dokument</w:t>
      </w:r>
      <w:r w:rsidRPr="000764CA">
        <w:rPr>
          <w:b/>
          <w:bCs/>
        </w:rPr>
        <w:t xml:space="preserve"> (z.</w:t>
      </w:r>
      <w:r w:rsidR="000049EE" w:rsidRPr="000764CA">
        <w:rPr>
          <w:b/>
          <w:bCs/>
        </w:rPr>
        <w:t> </w:t>
      </w:r>
      <w:r w:rsidRPr="000764CA">
        <w:rPr>
          <w:b/>
          <w:bCs/>
        </w:rPr>
        <w:t>B. Reisepass,</w:t>
      </w:r>
      <w:r w:rsidR="004D7D1A" w:rsidRPr="000764CA">
        <w:rPr>
          <w:b/>
          <w:bCs/>
        </w:rPr>
        <w:t xml:space="preserve"> Personalausweis,</w:t>
      </w:r>
      <w:r w:rsidRPr="000764CA">
        <w:rPr>
          <w:b/>
          <w:bCs/>
        </w:rPr>
        <w:t xml:space="preserve"> Führerschein oder ein anderer staatlich</w:t>
      </w:r>
      <w:r w:rsidR="000049EE" w:rsidRPr="000764CA">
        <w:rPr>
          <w:b/>
          <w:bCs/>
        </w:rPr>
        <w:t>erseits</w:t>
      </w:r>
      <w:r w:rsidRPr="000764CA">
        <w:rPr>
          <w:b/>
          <w:bCs/>
        </w:rPr>
        <w:t xml:space="preserve"> ausgestellter Ausweis).</w:t>
      </w:r>
    </w:p>
    <w:p w14:paraId="1CF7859B" w14:textId="2C9BF442" w:rsidR="00D26566" w:rsidRPr="0047461D" w:rsidRDefault="00D26566" w:rsidP="00D26566">
      <w:pPr>
        <w:spacing w:after="160" w:line="278" w:lineRule="auto"/>
      </w:pPr>
      <w:r w:rsidRPr="0047461D">
        <w:t xml:space="preserve">Es ist wichtig, dass </w:t>
      </w:r>
      <w:r w:rsidR="0003080E">
        <w:t>sämtliche</w:t>
      </w:r>
      <w:r w:rsidRPr="0047461D">
        <w:t xml:space="preserve"> übermittelten Informationen korrekt und aktuell sind, um Strafen für Verstöße zu vermeiden.</w:t>
      </w:r>
      <w:r w:rsidR="008D27C6">
        <w:t xml:space="preserve"> </w:t>
      </w:r>
      <w:r w:rsidRPr="0047461D">
        <w:t>CTA §</w:t>
      </w:r>
      <w:r w:rsidR="000B3B45">
        <w:t> </w:t>
      </w:r>
      <w:r w:rsidRPr="0047461D">
        <w:t>5336(b)(2)</w:t>
      </w:r>
      <w:r w:rsidR="00532290">
        <w:t xml:space="preserve"> und </w:t>
      </w:r>
      <w:r w:rsidR="00BC2EAB">
        <w:t>den hierzu</w:t>
      </w:r>
      <w:r w:rsidR="00532290">
        <w:t xml:space="preserve"> ergangenen Treasury Regulations 31 CFR 1010.380(</w:t>
      </w:r>
      <w:r w:rsidR="00687C68">
        <w:t>b</w:t>
      </w:r>
      <w:r w:rsidR="00532290">
        <w:t xml:space="preserve">) </w:t>
      </w:r>
      <w:r w:rsidR="00687C68">
        <w:t>bestimmen</w:t>
      </w:r>
      <w:r w:rsidRPr="0047461D">
        <w:t xml:space="preserve"> die erforderlichen Informationen </w:t>
      </w:r>
      <w:r w:rsidR="008D27C6">
        <w:t>über</w:t>
      </w:r>
      <w:r w:rsidRPr="0047461D">
        <w:t xml:space="preserve"> wirtschaftliche Eigentümer.</w:t>
      </w:r>
    </w:p>
    <w:p w14:paraId="5ECD48C0" w14:textId="0F54ACA2" w:rsidR="00D26566" w:rsidRPr="0047461D" w:rsidRDefault="00D26566" w:rsidP="00A832D5">
      <w:pPr>
        <w:pStyle w:val="berschrift3"/>
      </w:pPr>
      <w:r w:rsidRPr="0047461D">
        <w:lastRenderedPageBreak/>
        <w:t xml:space="preserve">4. </w:t>
      </w:r>
      <w:r w:rsidR="00A832D5">
        <w:t>Fristgerechte</w:t>
      </w:r>
      <w:r w:rsidRPr="0047461D">
        <w:t xml:space="preserve"> und </w:t>
      </w:r>
      <w:r w:rsidR="00A832D5">
        <w:t xml:space="preserve">akkurate </w:t>
      </w:r>
      <w:r w:rsidRPr="0047461D">
        <w:t>Berichterstattung</w:t>
      </w:r>
    </w:p>
    <w:p w14:paraId="0EC7B446" w14:textId="47FD1531" w:rsidR="00A832D5" w:rsidRDefault="00D26566" w:rsidP="00D26566">
      <w:pPr>
        <w:spacing w:after="160" w:line="278" w:lineRule="auto"/>
      </w:pPr>
      <w:r w:rsidRPr="0047461D">
        <w:t xml:space="preserve">Das CTA schreibt die </w:t>
      </w:r>
      <w:r w:rsidR="00A832D5">
        <w:t>fristgerechte</w:t>
      </w:r>
      <w:r w:rsidRPr="0047461D">
        <w:t xml:space="preserve"> Meldung von Informationen über wirtschaftliche Eigentümer an </w:t>
      </w:r>
      <w:proofErr w:type="spellStart"/>
      <w:r w:rsidRPr="0047461D">
        <w:t>FinCEN</w:t>
      </w:r>
      <w:proofErr w:type="spellEnd"/>
      <w:r w:rsidRPr="0047461D">
        <w:t xml:space="preserve"> vor. </w:t>
      </w:r>
      <w:r w:rsidR="00A832D5">
        <w:t xml:space="preserve">Diese </w:t>
      </w:r>
      <w:r w:rsidR="000878E9" w:rsidRPr="000878E9">
        <w:rPr>
          <w:b/>
          <w:bCs/>
        </w:rPr>
        <w:t xml:space="preserve">Fristen </w:t>
      </w:r>
      <w:r w:rsidR="003B7CDA" w:rsidRPr="000878E9">
        <w:rPr>
          <w:b/>
          <w:bCs/>
        </w:rPr>
        <w:t xml:space="preserve">für die anfängliche </w:t>
      </w:r>
      <w:r w:rsidR="003B7CDA" w:rsidRPr="00982FDC">
        <w:rPr>
          <w:b/>
          <w:bCs/>
        </w:rPr>
        <w:t>Meldepflicht</w:t>
      </w:r>
      <w:r w:rsidR="000878E9" w:rsidRPr="00982FDC">
        <w:rPr>
          <w:b/>
          <w:bCs/>
        </w:rPr>
        <w:t xml:space="preserve"> sind abhängig vom Gründungsdatum</w:t>
      </w:r>
      <w:r w:rsidR="000878E9">
        <w:t xml:space="preserve"> der Gesellschaft und wie folgt</w:t>
      </w:r>
      <w:r w:rsidR="00A832D5">
        <w:t>:</w:t>
      </w:r>
    </w:p>
    <w:p w14:paraId="4DE0D850" w14:textId="78ACC177" w:rsidR="00A832D5" w:rsidRPr="00982FDC" w:rsidRDefault="00A832D5" w:rsidP="00A832D5">
      <w:pPr>
        <w:pStyle w:val="Listenabsatz"/>
        <w:numPr>
          <w:ilvl w:val="0"/>
          <w:numId w:val="30"/>
        </w:numPr>
        <w:spacing w:after="160" w:line="278" w:lineRule="auto"/>
        <w:rPr>
          <w:b/>
          <w:bCs/>
        </w:rPr>
      </w:pPr>
      <w:r w:rsidRPr="00982FDC">
        <w:rPr>
          <w:b/>
          <w:bCs/>
        </w:rPr>
        <w:t>Vor dem 1. Januar 2024 gegründete Gesellschaften bis zum 31. Dezember</w:t>
      </w:r>
      <w:r w:rsidR="000B3B45" w:rsidRPr="00982FDC">
        <w:rPr>
          <w:b/>
          <w:bCs/>
        </w:rPr>
        <w:t> </w:t>
      </w:r>
      <w:r w:rsidRPr="00982FDC">
        <w:rPr>
          <w:b/>
          <w:bCs/>
        </w:rPr>
        <w:t>2024</w:t>
      </w:r>
    </w:p>
    <w:p w14:paraId="5FBA1E5D" w14:textId="1686E09A" w:rsidR="00A832D5" w:rsidRPr="00982FDC" w:rsidRDefault="00A832D5" w:rsidP="00A832D5">
      <w:pPr>
        <w:pStyle w:val="Listenabsatz"/>
        <w:numPr>
          <w:ilvl w:val="0"/>
          <w:numId w:val="30"/>
        </w:numPr>
        <w:spacing w:after="160" w:line="278" w:lineRule="auto"/>
        <w:rPr>
          <w:b/>
          <w:bCs/>
        </w:rPr>
      </w:pPr>
      <w:r w:rsidRPr="00982FDC">
        <w:rPr>
          <w:b/>
          <w:bCs/>
        </w:rPr>
        <w:t>Nach dem 31. Dezember 202</w:t>
      </w:r>
      <w:r w:rsidR="002B3BF2" w:rsidRPr="00982FDC">
        <w:rPr>
          <w:b/>
          <w:bCs/>
        </w:rPr>
        <w:t>3</w:t>
      </w:r>
      <w:r w:rsidRPr="00982FDC">
        <w:rPr>
          <w:b/>
          <w:bCs/>
        </w:rPr>
        <w:t xml:space="preserve"> gegründete Gesellschaften innerhalb von </w:t>
      </w:r>
      <w:r w:rsidR="000878E9" w:rsidRPr="00982FDC">
        <w:rPr>
          <w:b/>
          <w:bCs/>
        </w:rPr>
        <w:t>9</w:t>
      </w:r>
      <w:r w:rsidRPr="00982FDC">
        <w:rPr>
          <w:b/>
          <w:bCs/>
        </w:rPr>
        <w:t>0 Tagen</w:t>
      </w:r>
    </w:p>
    <w:p w14:paraId="397415A2" w14:textId="7D25AE35" w:rsidR="000878E9" w:rsidRPr="00982FDC" w:rsidRDefault="000878E9" w:rsidP="00A832D5">
      <w:pPr>
        <w:pStyle w:val="Listenabsatz"/>
        <w:numPr>
          <w:ilvl w:val="0"/>
          <w:numId w:val="30"/>
        </w:numPr>
        <w:spacing w:after="160" w:line="278" w:lineRule="auto"/>
        <w:rPr>
          <w:b/>
          <w:bCs/>
        </w:rPr>
      </w:pPr>
      <w:r w:rsidRPr="00982FDC">
        <w:rPr>
          <w:b/>
          <w:bCs/>
        </w:rPr>
        <w:t>Nach dem 31. Dezember 2024 gegründete Gesellschaften innerhalb von 30 Tagen</w:t>
      </w:r>
    </w:p>
    <w:p w14:paraId="046CC57F" w14:textId="20706CC9" w:rsidR="00D26566" w:rsidRPr="0047461D" w:rsidRDefault="002B3BF2" w:rsidP="00D26566">
      <w:pPr>
        <w:spacing w:after="160" w:line="278" w:lineRule="auto"/>
      </w:pPr>
      <w:r>
        <w:t>D. h., n</w:t>
      </w:r>
      <w:r w:rsidR="00D26566" w:rsidRPr="0047461D">
        <w:t xml:space="preserve">eu gegründete </w:t>
      </w:r>
      <w:r>
        <w:t>Gesellschaften</w:t>
      </w:r>
      <w:r w:rsidR="00D26566" w:rsidRPr="0047461D">
        <w:t xml:space="preserve"> müssen ihre Informationen über wirtschaftliche Eigentümer innerhalb von 30</w:t>
      </w:r>
      <w:r>
        <w:t> </w:t>
      </w:r>
      <w:r w:rsidR="00D26566" w:rsidRPr="0047461D">
        <w:t xml:space="preserve">Tagen nach der Gründung melden. </w:t>
      </w:r>
      <w:r>
        <w:t>Vor dem 1 Januar 2024 b</w:t>
      </w:r>
      <w:r w:rsidR="00D26566" w:rsidRPr="0047461D">
        <w:t xml:space="preserve">estehende </w:t>
      </w:r>
      <w:r>
        <w:t>Gesellschaft</w:t>
      </w:r>
      <w:r w:rsidR="00D26566" w:rsidRPr="0047461D">
        <w:t>en haben bis zum 1.</w:t>
      </w:r>
      <w:r w:rsidR="000B3B45">
        <w:t> </w:t>
      </w:r>
      <w:r w:rsidR="00D26566" w:rsidRPr="0047461D">
        <w:t>Januar</w:t>
      </w:r>
      <w:r w:rsidR="000B3B45">
        <w:t> </w:t>
      </w:r>
      <w:r w:rsidR="00D26566" w:rsidRPr="0047461D">
        <w:t>2025 Zeit, ihre ersten Berichte einzureichen, und anschließend ein Zeitfenster von 30 Tagen, um etwaige Änderungen zu aktualisieren.</w:t>
      </w:r>
    </w:p>
    <w:p w14:paraId="6A42077B" w14:textId="4047A214" w:rsidR="005D79CE" w:rsidRDefault="00D26566" w:rsidP="00D26566">
      <w:pPr>
        <w:spacing w:after="160" w:line="278" w:lineRule="auto"/>
      </w:pPr>
      <w:r w:rsidRPr="0047461D">
        <w:rPr>
          <w:b/>
          <w:bCs/>
        </w:rPr>
        <w:t>Aktualisierung von Änderungen</w:t>
      </w:r>
      <w:r w:rsidRPr="0047461D">
        <w:t xml:space="preserve">: Änderungen des wirtschaftlichen Eigentums oder der bereitgestellten Informationen (z. B. </w:t>
      </w:r>
      <w:r w:rsidR="007C7280">
        <w:t xml:space="preserve">rechtlicher Name (Firma), </w:t>
      </w:r>
      <w:r w:rsidRPr="0047461D">
        <w:t>Adresse, Name oder Identifikationsnummer</w:t>
      </w:r>
      <w:r w:rsidR="007C7280">
        <w:t>, z.B. Reisepassnummer, des wirtschaftlichen Eigentümers</w:t>
      </w:r>
      <w:r w:rsidRPr="0047461D">
        <w:t xml:space="preserve">) </w:t>
      </w:r>
      <w:r w:rsidRPr="007C7280">
        <w:rPr>
          <w:b/>
          <w:bCs/>
        </w:rPr>
        <w:t>müssen innerhalb von 30 Tagen nach der Änderung gemeldet werden</w:t>
      </w:r>
      <w:r w:rsidRPr="0047461D">
        <w:t>.</w:t>
      </w:r>
      <w:r w:rsidR="005D79CE">
        <w:t xml:space="preserve"> </w:t>
      </w:r>
    </w:p>
    <w:p w14:paraId="6B8D287E" w14:textId="052F3D38" w:rsidR="00D26566" w:rsidRPr="0047461D" w:rsidRDefault="005D79CE" w:rsidP="00D26566">
      <w:pPr>
        <w:spacing w:after="160" w:line="278" w:lineRule="auto"/>
      </w:pPr>
      <w:r>
        <w:t>D</w:t>
      </w:r>
      <w:r w:rsidRPr="0047461D">
        <w:t xml:space="preserve">ie Meldefristen und -anforderungen </w:t>
      </w:r>
      <w:r>
        <w:t xml:space="preserve">sowie die zu meldenden Informationen </w:t>
      </w:r>
      <w:r w:rsidRPr="0047461D">
        <w:t xml:space="preserve">für </w:t>
      </w:r>
      <w:r>
        <w:t xml:space="preserve">die anfängliche Meldung und nachfolgende </w:t>
      </w:r>
      <w:r w:rsidRPr="0047461D">
        <w:t>Änderungen</w:t>
      </w:r>
      <w:r>
        <w:t xml:space="preserve"> dieser Informationen sind in den </w:t>
      </w:r>
      <w:r w:rsidR="00BC2EAB">
        <w:t xml:space="preserve">Verwaltungsvorschriften </w:t>
      </w:r>
      <w:r>
        <w:t>Treasury Regulations 31 CFR 1010.380</w:t>
      </w:r>
      <w:r w:rsidR="00532290">
        <w:t>(a) und (b)</w:t>
      </w:r>
      <w:r>
        <w:t xml:space="preserve"> auf der gesetzlichen Grundlage des </w:t>
      </w:r>
      <w:r w:rsidR="00D26566" w:rsidRPr="0047461D">
        <w:t>CTA §</w:t>
      </w:r>
      <w:r w:rsidR="000B3B45">
        <w:t> </w:t>
      </w:r>
      <w:r w:rsidR="00D26566" w:rsidRPr="0047461D">
        <w:t>5336(b)(1) fest</w:t>
      </w:r>
      <w:r>
        <w:t>gelegt</w:t>
      </w:r>
      <w:r w:rsidR="00D26566" w:rsidRPr="0047461D">
        <w:t>.</w:t>
      </w:r>
    </w:p>
    <w:p w14:paraId="215753E0" w14:textId="77777777" w:rsidR="00D26566" w:rsidRPr="0047461D" w:rsidRDefault="00D26566" w:rsidP="003418DF">
      <w:pPr>
        <w:pStyle w:val="berschrift3"/>
      </w:pPr>
      <w:r w:rsidRPr="0047461D">
        <w:t>5. Strafen bei Nichteinhaltung</w:t>
      </w:r>
    </w:p>
    <w:p w14:paraId="6D164E6A" w14:textId="05E01E49" w:rsidR="00D26566" w:rsidRPr="0047461D" w:rsidRDefault="00D26566" w:rsidP="00D26566">
      <w:pPr>
        <w:spacing w:after="160" w:line="278" w:lineRule="auto"/>
      </w:pPr>
      <w:r w:rsidRPr="0047461D">
        <w:t>Die Nichteinhaltung der Meldepflichten des CTA ist mit erheblichen Strafen verbunden. Die vorsätzliche Unterlassung der Meldung von Informationen über wirtschaftliche Eigentümer oder die Angabe falscher oder betrügerischer Informationen kann zu zivilrechtlichen Strafen von bis zu 500</w:t>
      </w:r>
      <w:r w:rsidR="00B14122">
        <w:t> </w:t>
      </w:r>
      <w:r w:rsidRPr="0047461D">
        <w:t>US-Dollar pro Tag der Nichteinhaltung und zu Geldstrafen von bis zu 10.000 US-Dollar oder zu einer Freiheitsstrafe von bis zu zwei Jahren führen.</w:t>
      </w:r>
      <w:r w:rsidR="00B14122">
        <w:t xml:space="preserve"> </w:t>
      </w:r>
      <w:r w:rsidRPr="0047461D">
        <w:t>CTA §</w:t>
      </w:r>
      <w:r w:rsidR="00CF29B5">
        <w:t> </w:t>
      </w:r>
      <w:r w:rsidRPr="0047461D">
        <w:t>5336(h) führt zivil- und strafrechtliche Sanktionen im Einzelnen auf.</w:t>
      </w:r>
    </w:p>
    <w:p w14:paraId="0BCB31AC" w14:textId="77777777" w:rsidR="00D26566" w:rsidRPr="0047461D" w:rsidRDefault="00D26566" w:rsidP="00CD6472">
      <w:pPr>
        <w:pStyle w:val="berschrift3"/>
      </w:pPr>
      <w:r w:rsidRPr="0047461D">
        <w:t>6. Datenschutz- und Sicherheitsbedenken</w:t>
      </w:r>
    </w:p>
    <w:p w14:paraId="01346FED" w14:textId="429158C5" w:rsidR="00D26566" w:rsidRPr="0047461D" w:rsidRDefault="00D26566" w:rsidP="00CF29B5">
      <w:pPr>
        <w:spacing w:after="160" w:line="278" w:lineRule="auto"/>
      </w:pPr>
      <w:r w:rsidRPr="0047461D">
        <w:t xml:space="preserve">Die an </w:t>
      </w:r>
      <w:proofErr w:type="spellStart"/>
      <w:r w:rsidRPr="0047461D">
        <w:t>FinCEN</w:t>
      </w:r>
      <w:proofErr w:type="spellEnd"/>
      <w:r w:rsidRPr="0047461D">
        <w:t xml:space="preserve"> übermittelten Informationen über wirtschaftliche Eigentümer sind nicht öffentlich zugänglich und unterliegen strengen Vertraulichkeitsschutzbestimmungen. </w:t>
      </w:r>
      <w:proofErr w:type="spellStart"/>
      <w:r w:rsidRPr="0047461D">
        <w:t>FinCEN</w:t>
      </w:r>
      <w:proofErr w:type="spellEnd"/>
      <w:r w:rsidRPr="0047461D">
        <w:t xml:space="preserve"> darf diese Informationen nur unter bestimmten Umständen an Strafverfolgungsbehörden, Finanzinstitute (mit Zustimmung) und Aufsichtsbehörden weitergeben.</w:t>
      </w:r>
      <w:r w:rsidR="00CF29B5">
        <w:t xml:space="preserve"> </w:t>
      </w:r>
      <w:r w:rsidRPr="0047461D">
        <w:t>CTA §</w:t>
      </w:r>
      <w:r w:rsidR="00CF29B5">
        <w:t> </w:t>
      </w:r>
      <w:r w:rsidRPr="0047461D">
        <w:t>5336(c) regelt die Vertraulichkeit und Offenlegung von Informationen über wirtschaftliche Eigentümer.</w:t>
      </w:r>
    </w:p>
    <w:p w14:paraId="53B67DFC" w14:textId="77777777" w:rsidR="00D26566" w:rsidRPr="0047461D" w:rsidRDefault="00D26566" w:rsidP="00CD6472">
      <w:pPr>
        <w:pStyle w:val="berschrift3"/>
      </w:pPr>
      <w:r w:rsidRPr="0047461D">
        <w:t>7. Compliance und Aufzeichnungen</w:t>
      </w:r>
    </w:p>
    <w:p w14:paraId="1B0C10CE" w14:textId="23B070FB" w:rsidR="00D26566" w:rsidRPr="0047461D" w:rsidRDefault="00D26566" w:rsidP="00D26566">
      <w:pPr>
        <w:spacing w:after="160" w:line="278" w:lineRule="auto"/>
      </w:pPr>
      <w:r w:rsidRPr="0047461D">
        <w:t xml:space="preserve">Meldepflichtige </w:t>
      </w:r>
      <w:r w:rsidR="00CF29B5">
        <w:t xml:space="preserve">Gesellschaften </w:t>
      </w:r>
      <w:r w:rsidRPr="0047461D">
        <w:t xml:space="preserve">sollten </w:t>
      </w:r>
      <w:r w:rsidR="00CF29B5">
        <w:t xml:space="preserve">(abhängig von ihrer Unternehmensgröße und -struktur) </w:t>
      </w:r>
      <w:r w:rsidRPr="0047461D">
        <w:t>ein internes Compliance-System einrichten, um die fortlaufende Einhaltung des CTA zu gewährleisten. Dies umfasst:</w:t>
      </w:r>
    </w:p>
    <w:p w14:paraId="38ED6F20" w14:textId="77777777" w:rsidR="00D26566" w:rsidRPr="0047461D" w:rsidRDefault="00D26566" w:rsidP="00D26566">
      <w:pPr>
        <w:numPr>
          <w:ilvl w:val="0"/>
          <w:numId w:val="27"/>
        </w:numPr>
        <w:spacing w:after="160" w:line="278" w:lineRule="auto"/>
      </w:pPr>
      <w:r w:rsidRPr="0047461D">
        <w:rPr>
          <w:b/>
          <w:bCs/>
        </w:rPr>
        <w:t>Interne Audits</w:t>
      </w:r>
      <w:r w:rsidRPr="0047461D">
        <w:t>: Regelmäßige Überprüfung der Unternehmensstruktur und der Eigentumsverhältnisse, um sicherzustellen, dass die wirtschaftlichen Eigentümer ordnungsgemäß identifiziert werden.</w:t>
      </w:r>
    </w:p>
    <w:p w14:paraId="07CCF2A0" w14:textId="77777777" w:rsidR="00D26566" w:rsidRPr="0047461D" w:rsidRDefault="00D26566" w:rsidP="00D26566">
      <w:pPr>
        <w:numPr>
          <w:ilvl w:val="0"/>
          <w:numId w:val="27"/>
        </w:numPr>
        <w:spacing w:after="160" w:line="278" w:lineRule="auto"/>
      </w:pPr>
      <w:r w:rsidRPr="0047461D">
        <w:rPr>
          <w:b/>
          <w:bCs/>
        </w:rPr>
        <w:lastRenderedPageBreak/>
        <w:t>Aufbewahrung von Unterlagen</w:t>
      </w:r>
      <w:r w:rsidRPr="0047461D">
        <w:t xml:space="preserve">: Führung von Aufzeichnungen über das wirtschaftliche Eigentum und gegebenenfalls Einreichung von Aktualisierungen. Diese Unterlagen sollten auch nach der Einreichung von Berichten an </w:t>
      </w:r>
      <w:proofErr w:type="spellStart"/>
      <w:r w:rsidRPr="0047461D">
        <w:t>FinCEN</w:t>
      </w:r>
      <w:proofErr w:type="spellEnd"/>
      <w:r w:rsidRPr="0047461D">
        <w:t xml:space="preserve"> aufbewahrt werden.</w:t>
      </w:r>
    </w:p>
    <w:p w14:paraId="5C8488FD" w14:textId="77777777" w:rsidR="00D26566" w:rsidRPr="0047461D" w:rsidRDefault="00D26566" w:rsidP="00D26566">
      <w:pPr>
        <w:spacing w:after="160" w:line="278" w:lineRule="auto"/>
      </w:pPr>
      <w:r w:rsidRPr="0047461D">
        <w:t>Solide Compliance-Mechanismen können Unternehmen auch dabei helfen, bei versehentlichen Fehlern oder Auslassungen guten Willen zu zeigen.</w:t>
      </w:r>
    </w:p>
    <w:p w14:paraId="638839D5" w14:textId="77777777" w:rsidR="00D26566" w:rsidRPr="0047461D" w:rsidRDefault="00D26566" w:rsidP="00CD6472">
      <w:pPr>
        <w:pStyle w:val="berschrift3"/>
      </w:pPr>
      <w:r w:rsidRPr="0047461D">
        <w:t>8. Hinzuziehen von Rechts- und Compliance-Experten</w:t>
      </w:r>
    </w:p>
    <w:p w14:paraId="7C1F9E1B" w14:textId="68EE4871" w:rsidR="00D26566" w:rsidRPr="0047461D" w:rsidRDefault="00D26566" w:rsidP="00D26566">
      <w:pPr>
        <w:spacing w:after="160" w:line="278" w:lineRule="auto"/>
      </w:pPr>
      <w:r w:rsidRPr="0047461D">
        <w:t>Angesichts der Komplexität der Definitionen und Anforderungen des CTA kann es für meldepflichtige Einheiten ratsam sein, Rechts- oder Compliance-</w:t>
      </w:r>
      <w:r w:rsidR="00CF29B5">
        <w:t>Spezialisten</w:t>
      </w:r>
      <w:r w:rsidRPr="0047461D">
        <w:t xml:space="preserve"> hinzuzuziehen. </w:t>
      </w:r>
      <w:r w:rsidR="00CF29B5">
        <w:t>Diese Spezialisten</w:t>
      </w:r>
      <w:r w:rsidRPr="0047461D">
        <w:t xml:space="preserve"> können </w:t>
      </w:r>
      <w:proofErr w:type="gramStart"/>
      <w:r w:rsidRPr="0047461D">
        <w:t>bei folgenden</w:t>
      </w:r>
      <w:proofErr w:type="gramEnd"/>
      <w:r w:rsidRPr="0047461D">
        <w:t xml:space="preserve"> Aufgaben helfen:</w:t>
      </w:r>
    </w:p>
    <w:p w14:paraId="64016A11" w14:textId="77777777" w:rsidR="00D26566" w:rsidRPr="0047461D" w:rsidRDefault="00D26566" w:rsidP="00D26566">
      <w:pPr>
        <w:numPr>
          <w:ilvl w:val="0"/>
          <w:numId w:val="28"/>
        </w:numPr>
        <w:spacing w:after="160" w:line="278" w:lineRule="auto"/>
      </w:pPr>
      <w:r w:rsidRPr="0047461D">
        <w:t>Klärung der Definitionen des wirtschaftlichen Eigentums</w:t>
      </w:r>
    </w:p>
    <w:p w14:paraId="254EFC8C" w14:textId="77777777" w:rsidR="00D26566" w:rsidRPr="0047461D" w:rsidRDefault="00D26566" w:rsidP="00D26566">
      <w:pPr>
        <w:numPr>
          <w:ilvl w:val="0"/>
          <w:numId w:val="28"/>
        </w:numPr>
        <w:spacing w:after="160" w:line="278" w:lineRule="auto"/>
      </w:pPr>
      <w:r w:rsidRPr="0047461D">
        <w:t>Sicherstellung einer genauen und vollständigen Datenerfassung</w:t>
      </w:r>
    </w:p>
    <w:p w14:paraId="623B4FB0" w14:textId="77777777" w:rsidR="00D26566" w:rsidRPr="0047461D" w:rsidRDefault="00D26566" w:rsidP="00D26566">
      <w:pPr>
        <w:numPr>
          <w:ilvl w:val="0"/>
          <w:numId w:val="28"/>
        </w:numPr>
        <w:spacing w:after="160" w:line="278" w:lineRule="auto"/>
      </w:pPr>
      <w:r w:rsidRPr="0047461D">
        <w:t>Vermeidung potenzieller Strafen durch ordnungsgemäße Einreichung und Dokumentation</w:t>
      </w:r>
    </w:p>
    <w:p w14:paraId="186D020F" w14:textId="51F4245C" w:rsidR="00D26566" w:rsidRPr="0047461D" w:rsidRDefault="00D26566" w:rsidP="00D26566">
      <w:pPr>
        <w:spacing w:after="160" w:line="278" w:lineRule="auto"/>
      </w:pPr>
      <w:r w:rsidRPr="0047461D">
        <w:t xml:space="preserve">Die Einhaltung des CTA ist eine fortlaufende Verpflichtung. Ein engagierter </w:t>
      </w:r>
      <w:r w:rsidR="00CF29B5">
        <w:t>Spezialist</w:t>
      </w:r>
      <w:r w:rsidRPr="0047461D">
        <w:t xml:space="preserve"> stellt sicher, dass Aktualisierungen und Änderungen korrekt gehandhabt werden.</w:t>
      </w:r>
    </w:p>
    <w:p w14:paraId="28F4BB3D" w14:textId="77777777" w:rsidR="00D26566" w:rsidRPr="0047461D" w:rsidRDefault="00D26566" w:rsidP="00CD6472">
      <w:pPr>
        <w:pStyle w:val="berschrift3"/>
      </w:pPr>
      <w:r w:rsidRPr="0047461D">
        <w:t>9. Besondere Überlegungen zu mehrschichtigen oder ausländischen Eigentümerstrukturen</w:t>
      </w:r>
    </w:p>
    <w:p w14:paraId="0DF74D13" w14:textId="0E17EB77" w:rsidR="00D26566" w:rsidRPr="0047461D" w:rsidRDefault="00CF29B5" w:rsidP="00D26566">
      <w:pPr>
        <w:spacing w:after="160" w:line="278" w:lineRule="auto"/>
      </w:pPr>
      <w:r>
        <w:t>Gesellschaften</w:t>
      </w:r>
      <w:r w:rsidR="00D26566" w:rsidRPr="0047461D">
        <w:t xml:space="preserve"> mit komplexen Eigentümerstrukturen, insbesondere solche mit mehreren Ebenen von </w:t>
      </w:r>
      <w:r>
        <w:t>Gesellschaft</w:t>
      </w:r>
      <w:r w:rsidR="00D26566" w:rsidRPr="0047461D">
        <w:t xml:space="preserve">seigentümern oder ausländischen </w:t>
      </w:r>
      <w:r>
        <w:t>Gesellschaften</w:t>
      </w:r>
      <w:r w:rsidR="00D26566" w:rsidRPr="0047461D">
        <w:t xml:space="preserve">, stehen vor zusätzlichen Herausforderungen. Solche </w:t>
      </w:r>
      <w:r>
        <w:t>Gesellschaft</w:t>
      </w:r>
      <w:r w:rsidR="00D26566" w:rsidRPr="0047461D">
        <w:t>en müssen möglicherweise den Eigentümer über mehrere Ebenen hinweg zurückverfolgen, um die Personen mit erheblicher Kontrolle oder einem Anteil von 25</w:t>
      </w:r>
      <w:r>
        <w:t> </w:t>
      </w:r>
      <w:r w:rsidR="00D26566" w:rsidRPr="0047461D">
        <w:t xml:space="preserve">% zu ermitteln. Dies ist besonders wichtig für </w:t>
      </w:r>
      <w:r w:rsidR="004207E5">
        <w:t>Gesellschaften,</w:t>
      </w:r>
      <w:r w:rsidR="00D26566" w:rsidRPr="0047461D">
        <w:t xml:space="preserve"> die Treuhandvereinbarungen haben, bei denen indirekte Eigentümerschaft dennoch CTA-Berichtspflichten auslösen kann.</w:t>
      </w:r>
      <w:r>
        <w:t xml:space="preserve"> </w:t>
      </w:r>
      <w:r w:rsidR="00D26566" w:rsidRPr="0047461D">
        <w:t>CTA §</w:t>
      </w:r>
      <w:r>
        <w:t> </w:t>
      </w:r>
      <w:r w:rsidR="00D26566" w:rsidRPr="0047461D">
        <w:t xml:space="preserve">5336(a)(3) stellt </w:t>
      </w:r>
      <w:r>
        <w:t xml:space="preserve">in dieser Hinsicht </w:t>
      </w:r>
      <w:r w:rsidR="00D26566" w:rsidRPr="0047461D">
        <w:t>klar, dass wirtschaftliches Eigentum auch indirekte Kontrolle oder Eigentum umfassen kann.</w:t>
      </w:r>
    </w:p>
    <w:p w14:paraId="63549AF5" w14:textId="77777777" w:rsidR="00D26566" w:rsidRPr="0047461D" w:rsidRDefault="00D26566" w:rsidP="00CF29B5">
      <w:pPr>
        <w:pStyle w:val="berschrift2"/>
      </w:pPr>
      <w:proofErr w:type="spellStart"/>
      <w:r w:rsidRPr="0047461D">
        <w:t>Zusammenfassung</w:t>
      </w:r>
      <w:proofErr w:type="spellEnd"/>
      <w:r w:rsidRPr="0047461D">
        <w:t xml:space="preserve"> der </w:t>
      </w:r>
      <w:proofErr w:type="spellStart"/>
      <w:r w:rsidRPr="0047461D">
        <w:t>wichtigsten</w:t>
      </w:r>
      <w:proofErr w:type="spellEnd"/>
      <w:r w:rsidRPr="0047461D">
        <w:t xml:space="preserve"> Compliance-</w:t>
      </w:r>
      <w:proofErr w:type="spellStart"/>
      <w:r w:rsidRPr="0047461D">
        <w:t>Aspekte</w:t>
      </w:r>
      <w:proofErr w:type="spellEnd"/>
    </w:p>
    <w:p w14:paraId="3FC986AA" w14:textId="411C8885" w:rsidR="00D26566" w:rsidRPr="0047461D" w:rsidRDefault="00D26566" w:rsidP="00D26566">
      <w:pPr>
        <w:numPr>
          <w:ilvl w:val="0"/>
          <w:numId w:val="29"/>
        </w:numPr>
        <w:spacing w:after="160" w:line="278" w:lineRule="auto"/>
      </w:pPr>
      <w:r w:rsidRPr="0047461D">
        <w:rPr>
          <w:b/>
          <w:bCs/>
        </w:rPr>
        <w:t>Ermittlung des Status de</w:t>
      </w:r>
      <w:r w:rsidR="004207E5">
        <w:rPr>
          <w:b/>
          <w:bCs/>
        </w:rPr>
        <w:t>r</w:t>
      </w:r>
      <w:r w:rsidRPr="0047461D">
        <w:rPr>
          <w:b/>
          <w:bCs/>
        </w:rPr>
        <w:t xml:space="preserve"> berichtenden </w:t>
      </w:r>
      <w:r w:rsidR="004207E5">
        <w:rPr>
          <w:b/>
          <w:bCs/>
        </w:rPr>
        <w:t>Gesellschaft</w:t>
      </w:r>
      <w:r w:rsidRPr="0047461D">
        <w:t>: Stellen Sie sicher, dass d</w:t>
      </w:r>
      <w:r w:rsidR="004207E5">
        <w:t>ie</w:t>
      </w:r>
      <w:r w:rsidRPr="0047461D">
        <w:t xml:space="preserve"> </w:t>
      </w:r>
      <w:r w:rsidR="004207E5">
        <w:t xml:space="preserve">Gesellschaft </w:t>
      </w:r>
      <w:r w:rsidRPr="0047461D">
        <w:t>als berichtende</w:t>
      </w:r>
      <w:r w:rsidR="004207E5">
        <w:t xml:space="preserve"> Gesellschaft </w:t>
      </w:r>
      <w:r w:rsidRPr="0047461D">
        <w:t>gilt und nicht von der Meldepflicht befreit ist.</w:t>
      </w:r>
    </w:p>
    <w:p w14:paraId="3140038C" w14:textId="77777777" w:rsidR="00D26566" w:rsidRPr="0047461D" w:rsidRDefault="00D26566" w:rsidP="00D26566">
      <w:pPr>
        <w:numPr>
          <w:ilvl w:val="0"/>
          <w:numId w:val="29"/>
        </w:numPr>
        <w:spacing w:after="160" w:line="278" w:lineRule="auto"/>
      </w:pPr>
      <w:r w:rsidRPr="0047461D">
        <w:rPr>
          <w:b/>
          <w:bCs/>
        </w:rPr>
        <w:t>Informationen zum wirtschaftlichen Eigentum</w:t>
      </w:r>
      <w:r w:rsidRPr="0047461D">
        <w:t>: Prüfen und dokumentieren Sie die wirtschaftlichen Eigentümer sorgfältig.</w:t>
      </w:r>
    </w:p>
    <w:p w14:paraId="7FD4D8E3" w14:textId="77777777" w:rsidR="00D26566" w:rsidRPr="0047461D" w:rsidRDefault="00D26566" w:rsidP="00D26566">
      <w:pPr>
        <w:numPr>
          <w:ilvl w:val="0"/>
          <w:numId w:val="29"/>
        </w:numPr>
        <w:spacing w:after="160" w:line="278" w:lineRule="auto"/>
      </w:pPr>
      <w:r w:rsidRPr="0047461D">
        <w:rPr>
          <w:b/>
          <w:bCs/>
        </w:rPr>
        <w:t>Erforderliche Daten</w:t>
      </w:r>
      <w:r w:rsidRPr="0047461D">
        <w:t>: Erfassen und melden Sie die persönlichen Daten aller wirtschaftlichen Eigentümer.</w:t>
      </w:r>
    </w:p>
    <w:p w14:paraId="23918429" w14:textId="77777777" w:rsidR="00D26566" w:rsidRPr="0047461D" w:rsidRDefault="00D26566" w:rsidP="00D26566">
      <w:pPr>
        <w:numPr>
          <w:ilvl w:val="0"/>
          <w:numId w:val="29"/>
        </w:numPr>
        <w:spacing w:after="160" w:line="278" w:lineRule="auto"/>
      </w:pPr>
      <w:r w:rsidRPr="0047461D">
        <w:rPr>
          <w:b/>
          <w:bCs/>
        </w:rPr>
        <w:t>Rechtzeitigkeit</w:t>
      </w:r>
      <w:r w:rsidRPr="0047461D">
        <w:t>: Stellen Sie sicher, dass das wirtschaftliche Eigentum und alle Änderungen rechtzeitig gemeldet werden.</w:t>
      </w:r>
    </w:p>
    <w:p w14:paraId="2087F0F0" w14:textId="77777777" w:rsidR="00D26566" w:rsidRPr="0047461D" w:rsidRDefault="00D26566" w:rsidP="00D26566">
      <w:pPr>
        <w:numPr>
          <w:ilvl w:val="0"/>
          <w:numId w:val="29"/>
        </w:numPr>
        <w:spacing w:after="160" w:line="278" w:lineRule="auto"/>
      </w:pPr>
      <w:r w:rsidRPr="0047461D">
        <w:rPr>
          <w:b/>
          <w:bCs/>
        </w:rPr>
        <w:t>Sanktionen</w:t>
      </w:r>
      <w:r w:rsidRPr="0047461D">
        <w:t>: Machen Sie sich die schwerwiegenden Folgen einer Nichteinhaltung bewusst.</w:t>
      </w:r>
    </w:p>
    <w:p w14:paraId="1A32EB13" w14:textId="77777777" w:rsidR="00D26566" w:rsidRPr="0047461D" w:rsidRDefault="00D26566" w:rsidP="00D26566">
      <w:pPr>
        <w:numPr>
          <w:ilvl w:val="0"/>
          <w:numId w:val="29"/>
        </w:numPr>
        <w:spacing w:after="160" w:line="278" w:lineRule="auto"/>
      </w:pPr>
      <w:r w:rsidRPr="0047461D">
        <w:rPr>
          <w:b/>
          <w:bCs/>
        </w:rPr>
        <w:t>Vertraulichkeit</w:t>
      </w:r>
      <w:r w:rsidRPr="0047461D">
        <w:t>: Erkennen Sie an, dass gemeldete Daten sicher und vertraulich bleiben.</w:t>
      </w:r>
    </w:p>
    <w:p w14:paraId="2E71011C" w14:textId="4CF86E0D" w:rsidR="00D26566" w:rsidRPr="0047461D" w:rsidRDefault="00D26566" w:rsidP="00D26566">
      <w:pPr>
        <w:numPr>
          <w:ilvl w:val="0"/>
          <w:numId w:val="29"/>
        </w:numPr>
        <w:spacing w:after="160" w:line="278" w:lineRule="auto"/>
      </w:pPr>
      <w:r w:rsidRPr="0047461D">
        <w:rPr>
          <w:b/>
          <w:bCs/>
        </w:rPr>
        <w:t xml:space="preserve">Unterstützung durch </w:t>
      </w:r>
      <w:r w:rsidR="001F7BB9">
        <w:rPr>
          <w:b/>
          <w:bCs/>
        </w:rPr>
        <w:t>Spezialisten</w:t>
      </w:r>
      <w:r w:rsidRPr="0047461D">
        <w:t>: Wenden Sie sich bei komplexen Eigentumsstrukturen an Rechts- und Compliance-</w:t>
      </w:r>
      <w:r w:rsidR="001F7BB9">
        <w:t>Spezialis</w:t>
      </w:r>
      <w:r w:rsidRPr="0047461D">
        <w:t>ten.</w:t>
      </w:r>
    </w:p>
    <w:p w14:paraId="40445468" w14:textId="22EA54C5" w:rsidR="00D26566" w:rsidRPr="0047461D" w:rsidRDefault="00D26566" w:rsidP="00D26566">
      <w:pPr>
        <w:spacing w:after="160" w:line="278" w:lineRule="auto"/>
      </w:pPr>
      <w:r w:rsidRPr="0047461D">
        <w:lastRenderedPageBreak/>
        <w:t xml:space="preserve">Durch die Konzentration auf diese Kernbereiche können berichtspflichtige </w:t>
      </w:r>
      <w:r w:rsidR="004207E5">
        <w:t>Gesellschaft</w:t>
      </w:r>
      <w:r w:rsidRPr="0047461D">
        <w:t>en die Einhaltung des CTA sicherstellen und gleichzeitig Strafen und rechtliche Risiken vermeiden.</w:t>
      </w:r>
    </w:p>
    <w:p w14:paraId="148D2BFA" w14:textId="41217E63" w:rsidR="00607A19" w:rsidRPr="00572721" w:rsidRDefault="00572721" w:rsidP="00D83554">
      <w:pPr>
        <w:pStyle w:val="berschrift2"/>
        <w:rPr>
          <w:lang w:val="de-DE"/>
        </w:rPr>
      </w:pPr>
      <w:r w:rsidRPr="00572721">
        <w:rPr>
          <w:lang w:val="de-DE"/>
        </w:rPr>
        <w:t>Gesetzliche und regulatorische Quellen sow</w:t>
      </w:r>
      <w:r>
        <w:rPr>
          <w:lang w:val="de-DE"/>
        </w:rPr>
        <w:t>ie Handreichungen und Informationen des Fin CEN</w:t>
      </w:r>
    </w:p>
    <w:p w14:paraId="5E7F61A7" w14:textId="705B9621" w:rsidR="00607A19" w:rsidRDefault="0040052F" w:rsidP="00E435B3">
      <w:r>
        <w:t xml:space="preserve">Das </w:t>
      </w:r>
      <w:proofErr w:type="spellStart"/>
      <w:r>
        <w:t>FinCEN</w:t>
      </w:r>
      <w:proofErr w:type="spellEnd"/>
      <w:r>
        <w:t xml:space="preserve"> hat auf seiner Webseite unter folgendem Link: </w:t>
      </w:r>
    </w:p>
    <w:p w14:paraId="044A5740" w14:textId="4764C0F6" w:rsidR="0040052F" w:rsidRDefault="0040052F" w:rsidP="00FD1290">
      <w:pPr>
        <w:jc w:val="center"/>
      </w:pPr>
      <w:hyperlink r:id="rId8" w:history="1">
        <w:r w:rsidRPr="0040052F">
          <w:rPr>
            <w:rStyle w:val="Hyperlink"/>
          </w:rPr>
          <w:t>Reference Materials | FinCEN.gov</w:t>
        </w:r>
      </w:hyperlink>
    </w:p>
    <w:p w14:paraId="6D2CC757" w14:textId="4FF81BB8" w:rsidR="0040052F" w:rsidRPr="00607A19" w:rsidRDefault="0040052F" w:rsidP="00E435B3">
      <w:r>
        <w:t>g</w:t>
      </w:r>
      <w:r w:rsidRPr="00572721">
        <w:t>esetzliche und regulatorische Quellen sow</w:t>
      </w:r>
      <w:r>
        <w:t>ie Handreichungen und Informationen zur Erfüllung der Berichtspflichten zur Verfügung gestellt:</w:t>
      </w:r>
    </w:p>
    <w:p w14:paraId="3AF7545F" w14:textId="77777777" w:rsidR="0040052F" w:rsidRPr="00271068" w:rsidRDefault="0040052F" w:rsidP="00FD1290">
      <w:pPr>
        <w:keepNext/>
        <w:spacing w:after="160" w:line="278" w:lineRule="auto"/>
        <w:rPr>
          <w:lang w:val="en-US"/>
        </w:rPr>
      </w:pPr>
      <w:r w:rsidRPr="00271068">
        <w:rPr>
          <w:b/>
          <w:bCs/>
          <w:u w:val="single"/>
          <w:lang w:val="en-US"/>
        </w:rPr>
        <w:t>Communications Toolkit</w:t>
      </w:r>
    </w:p>
    <w:p w14:paraId="3D6C8B24" w14:textId="77777777" w:rsidR="0040052F" w:rsidRPr="00271068" w:rsidRDefault="0040052F" w:rsidP="0040052F">
      <w:pPr>
        <w:spacing w:after="160" w:line="278" w:lineRule="auto"/>
        <w:rPr>
          <w:lang w:val="en-US"/>
        </w:rPr>
      </w:pPr>
      <w:hyperlink r:id="rId9" w:history="1">
        <w:r w:rsidRPr="00271068">
          <w:rPr>
            <w:rStyle w:val="Hyperlink"/>
            <w:b/>
            <w:bCs/>
            <w:lang w:val="en-US"/>
          </w:rPr>
          <w:t>Beneficial Ownership Reporting Outreach and Education Toolkit</w:t>
        </w:r>
      </w:hyperlink>
    </w:p>
    <w:p w14:paraId="0822BAA0" w14:textId="77777777" w:rsidR="0040052F" w:rsidRPr="00271068" w:rsidRDefault="0040052F" w:rsidP="00FD1290">
      <w:pPr>
        <w:keepNext/>
        <w:spacing w:after="160" w:line="278" w:lineRule="auto"/>
        <w:rPr>
          <w:b/>
          <w:bCs/>
          <w:u w:val="single"/>
          <w:lang w:val="en-US"/>
        </w:rPr>
      </w:pPr>
      <w:r w:rsidRPr="00271068">
        <w:rPr>
          <w:b/>
          <w:bCs/>
          <w:u w:val="single"/>
          <w:lang w:val="en-US"/>
        </w:rPr>
        <w:t>Laws</w:t>
      </w:r>
    </w:p>
    <w:p w14:paraId="375E37BC" w14:textId="77777777" w:rsidR="0040052F" w:rsidRPr="00271068" w:rsidRDefault="0040052F" w:rsidP="0040052F">
      <w:pPr>
        <w:spacing w:after="160" w:line="278" w:lineRule="auto"/>
        <w:rPr>
          <w:lang w:val="en-US"/>
        </w:rPr>
      </w:pPr>
      <w:hyperlink r:id="rId10" w:history="1">
        <w:r w:rsidRPr="00271068">
          <w:rPr>
            <w:rStyle w:val="Hyperlink"/>
            <w:b/>
            <w:bCs/>
            <w:lang w:val="en-US"/>
          </w:rPr>
          <w:t>Corporate Transparency Act</w:t>
        </w:r>
      </w:hyperlink>
    </w:p>
    <w:p w14:paraId="348CF633" w14:textId="77777777" w:rsidR="0040052F" w:rsidRPr="00271068" w:rsidRDefault="0040052F" w:rsidP="0040052F">
      <w:pPr>
        <w:spacing w:after="160" w:line="278" w:lineRule="auto"/>
        <w:rPr>
          <w:lang w:val="en-US"/>
        </w:rPr>
      </w:pPr>
      <w:hyperlink r:id="rId11" w:tgtFrame="_blank" w:history="1">
        <w:r w:rsidRPr="00271068">
          <w:rPr>
            <w:rStyle w:val="Hyperlink"/>
            <w:b/>
            <w:bCs/>
            <w:lang w:val="en-US"/>
          </w:rPr>
          <w:t>31 U.S.C. 5336 (Beneficial ownership information reporting requirements)</w:t>
        </w:r>
      </w:hyperlink>
    </w:p>
    <w:p w14:paraId="1ECDC045" w14:textId="77777777" w:rsidR="0040052F" w:rsidRPr="00271068" w:rsidRDefault="0040052F" w:rsidP="00FD1290">
      <w:pPr>
        <w:keepNext/>
        <w:spacing w:after="160" w:line="278" w:lineRule="auto"/>
        <w:rPr>
          <w:b/>
          <w:bCs/>
          <w:u w:val="single"/>
          <w:lang w:val="en-US"/>
        </w:rPr>
      </w:pPr>
      <w:r w:rsidRPr="00271068">
        <w:rPr>
          <w:b/>
          <w:bCs/>
          <w:u w:val="single"/>
          <w:lang w:val="en-US"/>
        </w:rPr>
        <w:t>Regulations</w:t>
      </w:r>
    </w:p>
    <w:p w14:paraId="5655E451" w14:textId="77777777" w:rsidR="0040052F" w:rsidRPr="00271068" w:rsidRDefault="0040052F" w:rsidP="0040052F">
      <w:pPr>
        <w:spacing w:after="160" w:line="278" w:lineRule="auto"/>
        <w:rPr>
          <w:lang w:val="en-US"/>
        </w:rPr>
      </w:pPr>
      <w:hyperlink r:id="rId12" w:history="1">
        <w:r w:rsidRPr="00271068">
          <w:rPr>
            <w:rStyle w:val="Hyperlink"/>
            <w:b/>
            <w:bCs/>
            <w:lang w:val="en-US"/>
          </w:rPr>
          <w:t>31 CFR 1010.380 (excerpt from Beneficial Ownership information Reporting Requirements Final Rule)</w:t>
        </w:r>
      </w:hyperlink>
    </w:p>
    <w:p w14:paraId="3824DBAE" w14:textId="77777777" w:rsidR="0040052F" w:rsidRPr="00271068" w:rsidRDefault="0040052F" w:rsidP="00FD1290">
      <w:pPr>
        <w:keepNext/>
        <w:spacing w:after="160" w:line="278" w:lineRule="auto"/>
        <w:rPr>
          <w:b/>
          <w:bCs/>
          <w:u w:val="single"/>
          <w:lang w:val="en-US"/>
        </w:rPr>
      </w:pPr>
      <w:r w:rsidRPr="00271068">
        <w:rPr>
          <w:b/>
          <w:bCs/>
          <w:u w:val="single"/>
          <w:lang w:val="en-US"/>
        </w:rPr>
        <w:t>Final Rules</w:t>
      </w:r>
    </w:p>
    <w:p w14:paraId="790C7D65" w14:textId="77777777" w:rsidR="0040052F" w:rsidRPr="00271068" w:rsidRDefault="0040052F" w:rsidP="0040052F">
      <w:pPr>
        <w:spacing w:after="160" w:line="278" w:lineRule="auto"/>
        <w:rPr>
          <w:lang w:val="en-US"/>
        </w:rPr>
      </w:pPr>
      <w:hyperlink r:id="rId13" w:tgtFrame="_blank" w:history="1">
        <w:r w:rsidRPr="00271068">
          <w:rPr>
            <w:rStyle w:val="Hyperlink"/>
            <w:b/>
            <w:bCs/>
            <w:lang w:val="en-US"/>
          </w:rPr>
          <w:t>Beneficial Ownership Information Reporting Deadline Extension for Reporting Companies Created or Registered in 2024</w:t>
        </w:r>
      </w:hyperlink>
      <w:r w:rsidRPr="00271068">
        <w:rPr>
          <w:lang w:val="en-US"/>
        </w:rPr>
        <w:br/>
      </w:r>
      <w:hyperlink r:id="rId14" w:tgtFrame="_blank" w:history="1">
        <w:r w:rsidRPr="00271068">
          <w:rPr>
            <w:rStyle w:val="Hyperlink"/>
            <w:b/>
            <w:bCs/>
            <w:lang w:val="en-US"/>
          </w:rPr>
          <w:t>Use of</w:t>
        </w:r>
        <w:r w:rsidRPr="00271068">
          <w:rPr>
            <w:rStyle w:val="Hyperlink"/>
            <w:lang w:val="en-US"/>
          </w:rPr>
          <w:t> </w:t>
        </w:r>
        <w:r w:rsidRPr="00271068">
          <w:rPr>
            <w:rStyle w:val="Hyperlink"/>
            <w:b/>
            <w:bCs/>
            <w:lang w:val="en-US"/>
          </w:rPr>
          <w:t>FinCEN Identifiers for Reporting Beneficial Ownership Information of Entities</w:t>
        </w:r>
      </w:hyperlink>
      <w:r w:rsidRPr="00271068">
        <w:rPr>
          <w:lang w:val="en-US"/>
        </w:rPr>
        <w:br/>
      </w:r>
      <w:hyperlink r:id="rId15" w:tgtFrame="_blank" w:history="1">
        <w:r w:rsidRPr="00271068">
          <w:rPr>
            <w:rStyle w:val="Hyperlink"/>
            <w:b/>
            <w:bCs/>
            <w:lang w:val="en-US"/>
          </w:rPr>
          <w:t>Beneficial Ownership Information Reporting Requirements Final Rule</w:t>
        </w:r>
      </w:hyperlink>
    </w:p>
    <w:p w14:paraId="6F338E10" w14:textId="77777777" w:rsidR="0040052F" w:rsidRPr="00271068" w:rsidRDefault="0040052F" w:rsidP="0040052F">
      <w:pPr>
        <w:numPr>
          <w:ilvl w:val="0"/>
          <w:numId w:val="32"/>
        </w:numPr>
        <w:spacing w:after="160" w:line="278" w:lineRule="auto"/>
      </w:pPr>
      <w:hyperlink r:id="rId16" w:history="1">
        <w:r w:rsidRPr="00271068">
          <w:rPr>
            <w:rStyle w:val="Hyperlink"/>
          </w:rPr>
          <w:t>Fact Sheet</w:t>
        </w:r>
      </w:hyperlink>
    </w:p>
    <w:p w14:paraId="27DDFE1D" w14:textId="77777777" w:rsidR="0040052F" w:rsidRPr="00271068" w:rsidRDefault="0040052F" w:rsidP="0040052F">
      <w:pPr>
        <w:spacing w:after="160" w:line="278" w:lineRule="auto"/>
        <w:rPr>
          <w:lang w:val="en-US"/>
        </w:rPr>
      </w:pPr>
      <w:hyperlink r:id="rId17" w:history="1">
        <w:r w:rsidRPr="00271068">
          <w:rPr>
            <w:rStyle w:val="Hyperlink"/>
            <w:b/>
            <w:bCs/>
            <w:lang w:val="en-US"/>
          </w:rPr>
          <w:t>Beneficial Ownership Information Access and Safeguards Final Rule</w:t>
        </w:r>
      </w:hyperlink>
    </w:p>
    <w:p w14:paraId="0A6A7395" w14:textId="77777777" w:rsidR="0040052F" w:rsidRPr="00271068" w:rsidRDefault="0040052F" w:rsidP="0040052F">
      <w:pPr>
        <w:numPr>
          <w:ilvl w:val="0"/>
          <w:numId w:val="33"/>
        </w:numPr>
        <w:spacing w:after="160" w:line="278" w:lineRule="auto"/>
      </w:pPr>
      <w:hyperlink r:id="rId18" w:history="1">
        <w:r w:rsidRPr="00271068">
          <w:rPr>
            <w:rStyle w:val="Hyperlink"/>
          </w:rPr>
          <w:t>Fact Sheet</w:t>
        </w:r>
      </w:hyperlink>
    </w:p>
    <w:p w14:paraId="30E0D4D3" w14:textId="77777777" w:rsidR="0040052F" w:rsidRPr="00271068" w:rsidRDefault="0040052F" w:rsidP="00FD1290">
      <w:pPr>
        <w:keepNext/>
        <w:spacing w:after="160" w:line="278" w:lineRule="auto"/>
        <w:rPr>
          <w:b/>
          <w:bCs/>
          <w:u w:val="single"/>
          <w:lang w:val="en-US"/>
        </w:rPr>
      </w:pPr>
      <w:r w:rsidRPr="00271068">
        <w:rPr>
          <w:b/>
          <w:bCs/>
          <w:u w:val="single"/>
          <w:lang w:val="en-US"/>
        </w:rPr>
        <w:t>Proposed Rules</w:t>
      </w:r>
    </w:p>
    <w:p w14:paraId="3C51773F" w14:textId="77777777" w:rsidR="0040052F" w:rsidRPr="00271068" w:rsidRDefault="0040052F" w:rsidP="0040052F">
      <w:pPr>
        <w:spacing w:after="160" w:line="278" w:lineRule="auto"/>
        <w:rPr>
          <w:lang w:val="en-US"/>
        </w:rPr>
      </w:pPr>
      <w:hyperlink r:id="rId19" w:tgtFrame="_blank" w:history="1">
        <w:r w:rsidRPr="00271068">
          <w:rPr>
            <w:rStyle w:val="Hyperlink"/>
            <w:b/>
            <w:bCs/>
            <w:lang w:val="en-US"/>
          </w:rPr>
          <w:t>Beneficial Ownership Information Reporting Deadline Extension for Reporting Companies Created or Registered in 2024</w:t>
        </w:r>
      </w:hyperlink>
      <w:r w:rsidRPr="00271068">
        <w:rPr>
          <w:lang w:val="en-US"/>
        </w:rPr>
        <w:br/>
      </w:r>
      <w:hyperlink r:id="rId20" w:tgtFrame="_blank" w:history="1">
        <w:r w:rsidRPr="00271068">
          <w:rPr>
            <w:rStyle w:val="Hyperlink"/>
            <w:b/>
            <w:bCs/>
            <w:lang w:val="en-US"/>
          </w:rPr>
          <w:t>Beneficial Ownership Information Reporting Requirements Advance Notice of Proposed Rulemaking (ANPRM)</w:t>
        </w:r>
      </w:hyperlink>
    </w:p>
    <w:p w14:paraId="1C588880" w14:textId="77777777" w:rsidR="0040052F" w:rsidRPr="00271068" w:rsidRDefault="0040052F" w:rsidP="0040052F">
      <w:pPr>
        <w:numPr>
          <w:ilvl w:val="0"/>
          <w:numId w:val="34"/>
        </w:numPr>
        <w:spacing w:after="160" w:line="278" w:lineRule="auto"/>
      </w:pPr>
      <w:hyperlink r:id="rId21" w:tgtFrame="_blank" w:history="1">
        <w:r w:rsidRPr="00271068">
          <w:rPr>
            <w:rStyle w:val="Hyperlink"/>
          </w:rPr>
          <w:t xml:space="preserve">ANPRM </w:t>
        </w:r>
        <w:proofErr w:type="spellStart"/>
        <w:r w:rsidRPr="00271068">
          <w:rPr>
            <w:rStyle w:val="Hyperlink"/>
          </w:rPr>
          <w:t>comments</w:t>
        </w:r>
        <w:proofErr w:type="spellEnd"/>
      </w:hyperlink>
    </w:p>
    <w:p w14:paraId="0B795D76" w14:textId="77777777" w:rsidR="0040052F" w:rsidRPr="00271068" w:rsidRDefault="0040052F" w:rsidP="0040052F">
      <w:pPr>
        <w:spacing w:after="160" w:line="278" w:lineRule="auto"/>
        <w:rPr>
          <w:lang w:val="en-US"/>
        </w:rPr>
      </w:pPr>
      <w:hyperlink r:id="rId22" w:tgtFrame="_blank" w:history="1">
        <w:r w:rsidRPr="00271068">
          <w:rPr>
            <w:rStyle w:val="Hyperlink"/>
            <w:b/>
            <w:bCs/>
            <w:lang w:val="en-US"/>
          </w:rPr>
          <w:t>Beneficial Ownership Information Reporting Requirements Notice of Proposed Rulemaking (NPRM)</w:t>
        </w:r>
      </w:hyperlink>
    </w:p>
    <w:p w14:paraId="4A032BDE" w14:textId="77777777" w:rsidR="0040052F" w:rsidRPr="00271068" w:rsidRDefault="0040052F" w:rsidP="0040052F">
      <w:pPr>
        <w:numPr>
          <w:ilvl w:val="0"/>
          <w:numId w:val="35"/>
        </w:numPr>
        <w:spacing w:after="160" w:line="278" w:lineRule="auto"/>
      </w:pPr>
      <w:hyperlink r:id="rId23" w:tgtFrame="_blank" w:history="1">
        <w:r w:rsidRPr="00271068">
          <w:rPr>
            <w:rStyle w:val="Hyperlink"/>
          </w:rPr>
          <w:t xml:space="preserve">NPRM </w:t>
        </w:r>
        <w:proofErr w:type="spellStart"/>
        <w:r w:rsidRPr="00271068">
          <w:rPr>
            <w:rStyle w:val="Hyperlink"/>
          </w:rPr>
          <w:t>comments</w:t>
        </w:r>
        <w:proofErr w:type="spellEnd"/>
      </w:hyperlink>
    </w:p>
    <w:p w14:paraId="76B6BFBB" w14:textId="77777777" w:rsidR="0040052F" w:rsidRPr="00271068" w:rsidRDefault="0040052F" w:rsidP="0040052F">
      <w:pPr>
        <w:spacing w:after="160" w:line="278" w:lineRule="auto"/>
        <w:rPr>
          <w:lang w:val="en-US"/>
        </w:rPr>
      </w:pPr>
      <w:hyperlink r:id="rId24" w:tgtFrame="_blank" w:history="1">
        <w:r w:rsidRPr="00271068">
          <w:rPr>
            <w:rStyle w:val="Hyperlink"/>
            <w:b/>
            <w:bCs/>
            <w:lang w:val="en-US"/>
          </w:rPr>
          <w:t>Beneficial Ownership Information Access and Safeguards and Use of FinCEN Identifiers for Entities NPRM</w:t>
        </w:r>
      </w:hyperlink>
    </w:p>
    <w:p w14:paraId="5BE67233" w14:textId="77777777" w:rsidR="0040052F" w:rsidRPr="00271068" w:rsidRDefault="0040052F" w:rsidP="0040052F">
      <w:pPr>
        <w:numPr>
          <w:ilvl w:val="0"/>
          <w:numId w:val="36"/>
        </w:numPr>
        <w:spacing w:after="160" w:line="278" w:lineRule="auto"/>
      </w:pPr>
      <w:hyperlink r:id="rId25" w:tgtFrame="_blank" w:history="1">
        <w:r w:rsidRPr="00271068">
          <w:rPr>
            <w:rStyle w:val="Hyperlink"/>
          </w:rPr>
          <w:t xml:space="preserve">NPRM </w:t>
        </w:r>
        <w:proofErr w:type="spellStart"/>
        <w:r w:rsidRPr="00271068">
          <w:rPr>
            <w:rStyle w:val="Hyperlink"/>
          </w:rPr>
          <w:t>comments</w:t>
        </w:r>
        <w:proofErr w:type="spellEnd"/>
      </w:hyperlink>
    </w:p>
    <w:p w14:paraId="32B805BD" w14:textId="77777777" w:rsidR="0040052F" w:rsidRPr="00271068" w:rsidRDefault="0040052F" w:rsidP="0040052F">
      <w:pPr>
        <w:numPr>
          <w:ilvl w:val="0"/>
          <w:numId w:val="36"/>
        </w:numPr>
        <w:spacing w:after="160" w:line="278" w:lineRule="auto"/>
      </w:pPr>
      <w:hyperlink r:id="rId26" w:history="1">
        <w:r w:rsidRPr="00271068">
          <w:rPr>
            <w:rStyle w:val="Hyperlink"/>
          </w:rPr>
          <w:t>Fact Sheet</w:t>
        </w:r>
      </w:hyperlink>
    </w:p>
    <w:p w14:paraId="7EBB89D1" w14:textId="77777777" w:rsidR="0040052F" w:rsidRPr="00271068" w:rsidRDefault="0040052F" w:rsidP="00FD1290">
      <w:pPr>
        <w:keepNext/>
        <w:spacing w:after="160" w:line="278" w:lineRule="auto"/>
        <w:rPr>
          <w:b/>
          <w:bCs/>
          <w:u w:val="single"/>
          <w:lang w:val="en-US"/>
        </w:rPr>
      </w:pPr>
      <w:r w:rsidRPr="00271068">
        <w:rPr>
          <w:b/>
          <w:bCs/>
          <w:u w:val="single"/>
          <w:lang w:val="en-US"/>
        </w:rPr>
        <w:t>Beneficial Ownership Information Collections</w:t>
      </w:r>
    </w:p>
    <w:p w14:paraId="7BA304EB" w14:textId="77777777" w:rsidR="0040052F" w:rsidRPr="00271068" w:rsidRDefault="0040052F" w:rsidP="0040052F">
      <w:pPr>
        <w:numPr>
          <w:ilvl w:val="0"/>
          <w:numId w:val="37"/>
        </w:numPr>
        <w:spacing w:after="160" w:line="278" w:lineRule="auto"/>
        <w:rPr>
          <w:lang w:val="en-US"/>
        </w:rPr>
      </w:pPr>
      <w:hyperlink r:id="rId27" w:tgtFrame="_blank" w:history="1">
        <w:r w:rsidRPr="00271068">
          <w:rPr>
            <w:rStyle w:val="Hyperlink"/>
            <w:lang w:val="en-US"/>
          </w:rPr>
          <w:t>Beneficial Ownership Information Reports; Submission for OMB Review; Comment Request</w:t>
        </w:r>
      </w:hyperlink>
    </w:p>
    <w:p w14:paraId="38009E16" w14:textId="77777777" w:rsidR="0040052F" w:rsidRPr="00271068" w:rsidRDefault="0040052F" w:rsidP="0040052F">
      <w:pPr>
        <w:numPr>
          <w:ilvl w:val="0"/>
          <w:numId w:val="37"/>
        </w:numPr>
        <w:spacing w:after="160" w:line="278" w:lineRule="auto"/>
        <w:rPr>
          <w:lang w:val="en-US"/>
        </w:rPr>
      </w:pPr>
      <w:hyperlink r:id="rId28" w:tgtFrame="_blank" w:history="1">
        <w:r w:rsidRPr="00271068">
          <w:rPr>
            <w:rStyle w:val="Hyperlink"/>
            <w:lang w:val="en-US"/>
          </w:rPr>
          <w:t>Individual FinCEN Identifier Application; Submission for OMB Review; Comment Request</w:t>
        </w:r>
      </w:hyperlink>
    </w:p>
    <w:p w14:paraId="0ABD8F6E" w14:textId="77777777" w:rsidR="0040052F" w:rsidRPr="00271068" w:rsidRDefault="0040052F" w:rsidP="0040052F">
      <w:pPr>
        <w:numPr>
          <w:ilvl w:val="0"/>
          <w:numId w:val="37"/>
        </w:numPr>
        <w:spacing w:after="160" w:line="278" w:lineRule="auto"/>
        <w:rPr>
          <w:lang w:val="en-US"/>
        </w:rPr>
      </w:pPr>
      <w:hyperlink r:id="rId29" w:tgtFrame="_blank" w:history="1">
        <w:r w:rsidRPr="00271068">
          <w:rPr>
            <w:rStyle w:val="Hyperlink"/>
            <w:lang w:val="en-US"/>
          </w:rPr>
          <w:t>Beneficial Ownership Information Requests; Submission for OMB Review; Comment Request</w:t>
        </w:r>
      </w:hyperlink>
    </w:p>
    <w:p w14:paraId="253435D8" w14:textId="77777777" w:rsidR="0040052F" w:rsidRPr="00271068" w:rsidRDefault="0040052F" w:rsidP="00FD1290">
      <w:pPr>
        <w:keepNext/>
        <w:spacing w:after="160" w:line="278" w:lineRule="auto"/>
        <w:rPr>
          <w:b/>
          <w:bCs/>
          <w:u w:val="single"/>
          <w:lang w:val="en-US"/>
        </w:rPr>
      </w:pPr>
      <w:r w:rsidRPr="00271068">
        <w:rPr>
          <w:b/>
          <w:bCs/>
          <w:u w:val="single"/>
          <w:lang w:val="en-US"/>
        </w:rPr>
        <w:t>Small Entity Compliance Guides</w:t>
      </w:r>
    </w:p>
    <w:p w14:paraId="5F0272DD" w14:textId="77777777" w:rsidR="0040052F" w:rsidRPr="00271068" w:rsidRDefault="0040052F" w:rsidP="0040052F">
      <w:pPr>
        <w:numPr>
          <w:ilvl w:val="0"/>
          <w:numId w:val="38"/>
        </w:numPr>
        <w:spacing w:after="160" w:line="278" w:lineRule="auto"/>
        <w:rPr>
          <w:lang w:val="en-US"/>
        </w:rPr>
      </w:pPr>
      <w:hyperlink r:id="rId30" w:history="1">
        <w:r w:rsidRPr="00271068">
          <w:rPr>
            <w:rStyle w:val="Hyperlink"/>
            <w:lang w:val="en-US"/>
          </w:rPr>
          <w:t>Small Entity Compliance Guide for Beneficial Ownership Information Reporting Requirements</w:t>
        </w:r>
      </w:hyperlink>
    </w:p>
    <w:p w14:paraId="7BFD687D" w14:textId="77777777" w:rsidR="0040052F" w:rsidRPr="00271068" w:rsidRDefault="0040052F" w:rsidP="0040052F">
      <w:pPr>
        <w:numPr>
          <w:ilvl w:val="0"/>
          <w:numId w:val="38"/>
        </w:numPr>
        <w:spacing w:after="160" w:line="278" w:lineRule="auto"/>
        <w:rPr>
          <w:lang w:val="en-US"/>
        </w:rPr>
      </w:pPr>
      <w:hyperlink r:id="rId31" w:history="1">
        <w:r w:rsidRPr="00271068">
          <w:rPr>
            <w:rStyle w:val="Hyperlink"/>
            <w:lang w:val="en-US"/>
          </w:rPr>
          <w:t>Small Entity Compliance Guide for Beneficial Ownership Information Access and Safeguards Requirements</w:t>
        </w:r>
      </w:hyperlink>
    </w:p>
    <w:p w14:paraId="2EC8178F" w14:textId="77777777" w:rsidR="00607A19" w:rsidRPr="0040052F" w:rsidRDefault="00607A19" w:rsidP="00E435B3">
      <w:pPr>
        <w:rPr>
          <w:lang w:val="en-US"/>
        </w:rPr>
      </w:pPr>
    </w:p>
    <w:sectPr w:rsidR="00607A19" w:rsidRPr="0040052F" w:rsidSect="00D42072">
      <w:footerReference w:type="default" r:id="rId32"/>
      <w:headerReference w:type="first" r:id="rId33"/>
      <w:pgSz w:w="11907" w:h="16839" w:code="9"/>
      <w:pgMar w:top="1699"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02C04" w14:textId="77777777" w:rsidR="007D568E" w:rsidRDefault="007D568E" w:rsidP="00423989">
      <w:pPr>
        <w:spacing w:after="0" w:line="240" w:lineRule="auto"/>
      </w:pPr>
      <w:r>
        <w:separator/>
      </w:r>
    </w:p>
  </w:endnote>
  <w:endnote w:type="continuationSeparator" w:id="0">
    <w:p w14:paraId="6E5043DB" w14:textId="77777777" w:rsidR="007D568E" w:rsidRDefault="007D568E" w:rsidP="00423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5061229"/>
      <w:docPartObj>
        <w:docPartGallery w:val="Page Numbers (Bottom of Page)"/>
        <w:docPartUnique/>
      </w:docPartObj>
    </w:sdtPr>
    <w:sdtEndPr>
      <w:rPr>
        <w:i/>
        <w:iCs/>
        <w:noProof/>
        <w:sz w:val="18"/>
        <w:szCs w:val="18"/>
      </w:rPr>
    </w:sdtEndPr>
    <w:sdtContent>
      <w:p w14:paraId="18EB451D" w14:textId="77777777" w:rsidR="00912D45" w:rsidRDefault="005D2498">
        <w:pPr>
          <w:pStyle w:val="Fuzeile"/>
          <w:jc w:val="center"/>
          <w:rPr>
            <w:noProof/>
          </w:rPr>
        </w:pPr>
        <w:r>
          <w:fldChar w:fldCharType="begin"/>
        </w:r>
        <w:r>
          <w:instrText xml:space="preserve"> PAGE   \* MERGEFORMAT </w:instrText>
        </w:r>
        <w:r>
          <w:fldChar w:fldCharType="separate"/>
        </w:r>
        <w:r w:rsidR="004B72AA">
          <w:rPr>
            <w:noProof/>
          </w:rPr>
          <w:t>1</w:t>
        </w:r>
        <w:r>
          <w:rPr>
            <w:noProof/>
          </w:rPr>
          <w:fldChar w:fldCharType="end"/>
        </w:r>
      </w:p>
      <w:p w14:paraId="75B0B276" w14:textId="3AF7DD65" w:rsidR="005D2498" w:rsidRPr="00912D45" w:rsidRDefault="00912D45">
        <w:pPr>
          <w:pStyle w:val="Fuzeile"/>
          <w:jc w:val="center"/>
          <w:rPr>
            <w:i/>
            <w:iCs/>
            <w:sz w:val="18"/>
            <w:szCs w:val="18"/>
          </w:rPr>
        </w:pPr>
        <w:r w:rsidRPr="00912D45">
          <w:rPr>
            <w:i/>
            <w:iCs/>
            <w:noProof/>
            <w:sz w:val="18"/>
            <w:szCs w:val="18"/>
          </w:rPr>
          <w:t>© 2024 Dr. Johannes Mittermaier</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51776" w14:textId="77777777" w:rsidR="007D568E" w:rsidRDefault="007D568E" w:rsidP="00423989">
      <w:pPr>
        <w:spacing w:after="0" w:line="240" w:lineRule="auto"/>
      </w:pPr>
      <w:r>
        <w:separator/>
      </w:r>
    </w:p>
  </w:footnote>
  <w:footnote w:type="continuationSeparator" w:id="0">
    <w:p w14:paraId="343CC4AD" w14:textId="77777777" w:rsidR="007D568E" w:rsidRDefault="007D568E" w:rsidP="004239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B1568" w14:textId="77777777" w:rsidR="005D2498" w:rsidRPr="00CD1764" w:rsidRDefault="005D2498" w:rsidP="00CD1764">
    <w:pPr>
      <w:pStyle w:val="Kopfzeile"/>
      <w:rPr>
        <w:lang w:val="en-US"/>
      </w:rPr>
    </w:pPr>
    <w:r w:rsidRPr="00CD1764">
      <w:rPr>
        <w:lang w:val="en-US"/>
      </w:rPr>
      <w:t>Portfolio 852-3rd: Income Taxation of Trusts and Estates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D6375"/>
    <w:multiLevelType w:val="multilevel"/>
    <w:tmpl w:val="79CC1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524280"/>
    <w:multiLevelType w:val="multilevel"/>
    <w:tmpl w:val="BEFE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7B3F92"/>
    <w:multiLevelType w:val="hybridMultilevel"/>
    <w:tmpl w:val="FF503300"/>
    <w:lvl w:ilvl="0" w:tplc="81E4ADD2">
      <w:start w:val="1"/>
      <w:numFmt w:val="decimal"/>
      <w:pStyle w:val="berschrift5"/>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 w15:restartNumberingAfterBreak="0">
    <w:nsid w:val="04086681"/>
    <w:multiLevelType w:val="multilevel"/>
    <w:tmpl w:val="7A00E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F72EA2"/>
    <w:multiLevelType w:val="multilevel"/>
    <w:tmpl w:val="93D24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3A59D3"/>
    <w:multiLevelType w:val="multilevel"/>
    <w:tmpl w:val="5F98D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79682B"/>
    <w:multiLevelType w:val="hybridMultilevel"/>
    <w:tmpl w:val="5352CCD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2C5B01"/>
    <w:multiLevelType w:val="hybridMultilevel"/>
    <w:tmpl w:val="DA1292DC"/>
    <w:lvl w:ilvl="0" w:tplc="FFFFFFFF">
      <w:start w:val="1"/>
      <w:numFmt w:val="lowerLetter"/>
      <w:lvlText w:val="%1)"/>
      <w:lvlJc w:val="left"/>
      <w:pPr>
        <w:ind w:left="720" w:hanging="360"/>
      </w:pPr>
      <w:rPr>
        <w:rFonts w:hint="default"/>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BD9074C"/>
    <w:multiLevelType w:val="hybridMultilevel"/>
    <w:tmpl w:val="67989222"/>
    <w:lvl w:ilvl="0" w:tplc="FFFFFFFF">
      <w:start w:val="1"/>
      <w:numFmt w:val="decimal"/>
      <w:lvlText w:val="%1."/>
      <w:lvlJc w:val="left"/>
      <w:pPr>
        <w:ind w:left="360" w:hanging="360"/>
      </w:pPr>
      <w:rPr>
        <w:rFonts w:hint="default"/>
      </w:rPr>
    </w:lvl>
    <w:lvl w:ilvl="1" w:tplc="FFFFFFFF">
      <w:start w:val="1"/>
      <w:numFmt w:val="lowerRoman"/>
      <w:lvlText w:val="%2."/>
      <w:lvlJc w:val="left"/>
      <w:pPr>
        <w:ind w:left="1440" w:hanging="720"/>
      </w:pPr>
      <w:rPr>
        <w:rFonts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62218D9"/>
    <w:multiLevelType w:val="multilevel"/>
    <w:tmpl w:val="FD3EB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320C56"/>
    <w:multiLevelType w:val="hybridMultilevel"/>
    <w:tmpl w:val="9E98D818"/>
    <w:lvl w:ilvl="0" w:tplc="C2D84EAA">
      <w:start w:val="1"/>
      <w:numFmt w:val="lowerLetter"/>
      <w:pStyle w:val="berschrift4"/>
      <w:lvlText w:val="%1."/>
      <w:lvlJc w:val="left"/>
      <w:pPr>
        <w:ind w:left="720" w:hanging="360"/>
      </w:pPr>
      <w:rPr>
        <w:rFonts w:hint="default"/>
        <w:b/>
        <w:i w:val="0"/>
      </w:rPr>
    </w:lvl>
    <w:lvl w:ilvl="1" w:tplc="D52699D4">
      <w:numFmt w:val="bullet"/>
      <w:lvlText w:val="•"/>
      <w:lvlJc w:val="left"/>
      <w:pPr>
        <w:ind w:left="1440" w:hanging="360"/>
      </w:pPr>
      <w:rPr>
        <w:rFonts w:ascii="Calibri" w:eastAsiaTheme="minorHAnsi" w:hAnsi="Calibr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FE51A3"/>
    <w:multiLevelType w:val="multilevel"/>
    <w:tmpl w:val="3CE46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405BC2"/>
    <w:multiLevelType w:val="hybridMultilevel"/>
    <w:tmpl w:val="791E00BE"/>
    <w:lvl w:ilvl="0" w:tplc="D43C8F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AC1958"/>
    <w:multiLevelType w:val="multilevel"/>
    <w:tmpl w:val="EA708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523A45"/>
    <w:multiLevelType w:val="hybridMultilevel"/>
    <w:tmpl w:val="A216A7EC"/>
    <w:lvl w:ilvl="0" w:tplc="944A5B9A">
      <w:start w:val="1"/>
      <w:numFmt w:val="upperRoman"/>
      <w:pStyle w:val="Anhangsverzeichnis"/>
      <w:lvlText w:val="Anhang %1"/>
      <w:lvlJc w:val="left"/>
      <w:pPr>
        <w:ind w:left="720" w:hanging="360"/>
      </w:pPr>
      <w:rPr>
        <w:rFonts w:hint="default"/>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8D206A3"/>
    <w:multiLevelType w:val="hybridMultilevel"/>
    <w:tmpl w:val="DA1292DC"/>
    <w:lvl w:ilvl="0" w:tplc="7BA016F4">
      <w:start w:val="1"/>
      <w:numFmt w:val="lowerLetter"/>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CE6939"/>
    <w:multiLevelType w:val="hybridMultilevel"/>
    <w:tmpl w:val="6A6ADA52"/>
    <w:lvl w:ilvl="0" w:tplc="F2BA5D48">
      <w:start w:val="1"/>
      <w:numFmt w:val="upperRoman"/>
      <w:pStyle w:val="berschrift1"/>
      <w:lvlText w:val="%1."/>
      <w:lvlJc w:val="right"/>
      <w:pPr>
        <w:ind w:left="360" w:hanging="360"/>
      </w:pPr>
      <w:rPr>
        <w:rFonts w:hint="default"/>
      </w:rPr>
    </w:lvl>
    <w:lvl w:ilvl="1" w:tplc="F24049A8">
      <w:start w:val="1"/>
      <w:numFmt w:val="lowerLetter"/>
      <w:lvlText w:val="%2."/>
      <w:lvlJc w:val="left"/>
      <w:pPr>
        <w:ind w:left="1785" w:hanging="705"/>
      </w:pPr>
      <w:rPr>
        <w:rFonts w:hint="default"/>
      </w:rPr>
    </w:lvl>
    <w:lvl w:ilvl="2" w:tplc="06983246">
      <w:numFmt w:val="bullet"/>
      <w:lvlText w:val="•"/>
      <w:lvlJc w:val="left"/>
      <w:pPr>
        <w:ind w:left="2340" w:hanging="360"/>
      </w:pPr>
      <w:rPr>
        <w:rFonts w:ascii="Calibri" w:eastAsiaTheme="minorHAnsi" w:hAnsi="Calibri" w:cstheme="minorBidi"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87590E"/>
    <w:multiLevelType w:val="hybridMultilevel"/>
    <w:tmpl w:val="1E2617D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5545E5F"/>
    <w:multiLevelType w:val="hybridMultilevel"/>
    <w:tmpl w:val="67989222"/>
    <w:lvl w:ilvl="0" w:tplc="0409000F">
      <w:start w:val="1"/>
      <w:numFmt w:val="decimal"/>
      <w:lvlText w:val="%1."/>
      <w:lvlJc w:val="left"/>
      <w:pPr>
        <w:ind w:left="360" w:hanging="360"/>
      </w:pPr>
      <w:rPr>
        <w:rFonts w:hint="default"/>
      </w:rPr>
    </w:lvl>
    <w:lvl w:ilvl="1" w:tplc="CFB600F0">
      <w:start w:val="1"/>
      <w:numFmt w:val="lowerRoman"/>
      <w:lvlText w:val="%2."/>
      <w:lvlJc w:val="left"/>
      <w:pPr>
        <w:ind w:left="1440" w:hanging="72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A846F5B"/>
    <w:multiLevelType w:val="hybridMultilevel"/>
    <w:tmpl w:val="5352CCD8"/>
    <w:lvl w:ilvl="0" w:tplc="C06472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EA3F47"/>
    <w:multiLevelType w:val="multilevel"/>
    <w:tmpl w:val="706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0A2D43"/>
    <w:multiLevelType w:val="hybridMultilevel"/>
    <w:tmpl w:val="232A7C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EF54865"/>
    <w:multiLevelType w:val="hybridMultilevel"/>
    <w:tmpl w:val="AAAAE28A"/>
    <w:lvl w:ilvl="0" w:tplc="A1ACB0A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4F180265"/>
    <w:multiLevelType w:val="multilevel"/>
    <w:tmpl w:val="0310D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561333"/>
    <w:multiLevelType w:val="hybridMultilevel"/>
    <w:tmpl w:val="60AE486A"/>
    <w:lvl w:ilvl="0" w:tplc="D43C8F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A726A0"/>
    <w:multiLevelType w:val="multilevel"/>
    <w:tmpl w:val="FE6C3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3CB5D1D"/>
    <w:multiLevelType w:val="hybridMultilevel"/>
    <w:tmpl w:val="D5BE86F6"/>
    <w:lvl w:ilvl="0" w:tplc="7BA047B6">
      <w:start w:val="1"/>
      <w:numFmt w:val="upperRoman"/>
      <w:pStyle w:val="Listenabsatz"/>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8103622"/>
    <w:multiLevelType w:val="multilevel"/>
    <w:tmpl w:val="0E3EA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AD02766"/>
    <w:multiLevelType w:val="multilevel"/>
    <w:tmpl w:val="7E5AA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986B1B"/>
    <w:multiLevelType w:val="hybridMultilevel"/>
    <w:tmpl w:val="79E82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70447C9"/>
    <w:multiLevelType w:val="hybridMultilevel"/>
    <w:tmpl w:val="4DF4EF94"/>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1" w15:restartNumberingAfterBreak="0">
    <w:nsid w:val="7675311E"/>
    <w:multiLevelType w:val="hybridMultilevel"/>
    <w:tmpl w:val="1E2617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F370D8"/>
    <w:multiLevelType w:val="hybridMultilevel"/>
    <w:tmpl w:val="A1FA6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44318B"/>
    <w:multiLevelType w:val="hybridMultilevel"/>
    <w:tmpl w:val="FA6206CA"/>
    <w:lvl w:ilvl="0" w:tplc="83E686DE">
      <w:start w:val="1"/>
      <w:numFmt w:val="upperLetter"/>
      <w:pStyle w:val="berschrift2"/>
      <w:lvlText w:val="%1."/>
      <w:lvlJc w:val="left"/>
      <w:pPr>
        <w:ind w:left="360" w:hanging="360"/>
      </w:pPr>
      <w:rPr>
        <w:rFonts w:hint="default"/>
      </w:rPr>
    </w:lvl>
    <w:lvl w:ilvl="1" w:tplc="04070019">
      <w:start w:val="1"/>
      <w:numFmt w:val="lowerLetter"/>
      <w:lvlText w:val="%2."/>
      <w:lvlJc w:val="left"/>
      <w:pPr>
        <w:ind w:left="1260" w:hanging="360"/>
      </w:pPr>
    </w:lvl>
    <w:lvl w:ilvl="2" w:tplc="0407001B" w:tentative="1">
      <w:start w:val="1"/>
      <w:numFmt w:val="lowerRoman"/>
      <w:lvlText w:val="%3."/>
      <w:lvlJc w:val="right"/>
      <w:pPr>
        <w:ind w:left="1980" w:hanging="180"/>
      </w:pPr>
    </w:lvl>
    <w:lvl w:ilvl="3" w:tplc="0407000F" w:tentative="1">
      <w:start w:val="1"/>
      <w:numFmt w:val="decimal"/>
      <w:lvlText w:val="%4."/>
      <w:lvlJc w:val="left"/>
      <w:pPr>
        <w:ind w:left="2700" w:hanging="360"/>
      </w:pPr>
    </w:lvl>
    <w:lvl w:ilvl="4" w:tplc="04070019" w:tentative="1">
      <w:start w:val="1"/>
      <w:numFmt w:val="lowerLetter"/>
      <w:lvlText w:val="%5."/>
      <w:lvlJc w:val="left"/>
      <w:pPr>
        <w:ind w:left="3420" w:hanging="360"/>
      </w:pPr>
    </w:lvl>
    <w:lvl w:ilvl="5" w:tplc="0407001B" w:tentative="1">
      <w:start w:val="1"/>
      <w:numFmt w:val="lowerRoman"/>
      <w:lvlText w:val="%6."/>
      <w:lvlJc w:val="right"/>
      <w:pPr>
        <w:ind w:left="4140" w:hanging="180"/>
      </w:pPr>
    </w:lvl>
    <w:lvl w:ilvl="6" w:tplc="0407000F" w:tentative="1">
      <w:start w:val="1"/>
      <w:numFmt w:val="decimal"/>
      <w:lvlText w:val="%7."/>
      <w:lvlJc w:val="left"/>
      <w:pPr>
        <w:ind w:left="4860" w:hanging="360"/>
      </w:pPr>
    </w:lvl>
    <w:lvl w:ilvl="7" w:tplc="04070019" w:tentative="1">
      <w:start w:val="1"/>
      <w:numFmt w:val="lowerLetter"/>
      <w:lvlText w:val="%8."/>
      <w:lvlJc w:val="left"/>
      <w:pPr>
        <w:ind w:left="5580" w:hanging="360"/>
      </w:pPr>
    </w:lvl>
    <w:lvl w:ilvl="8" w:tplc="0407001B" w:tentative="1">
      <w:start w:val="1"/>
      <w:numFmt w:val="lowerRoman"/>
      <w:lvlText w:val="%9."/>
      <w:lvlJc w:val="right"/>
      <w:pPr>
        <w:ind w:left="6300" w:hanging="180"/>
      </w:pPr>
    </w:lvl>
  </w:abstractNum>
  <w:abstractNum w:abstractNumId="34" w15:restartNumberingAfterBreak="0">
    <w:nsid w:val="7F6C21DF"/>
    <w:multiLevelType w:val="multilevel"/>
    <w:tmpl w:val="2C90E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8202288">
    <w:abstractNumId w:val="16"/>
  </w:num>
  <w:num w:numId="2" w16cid:durableId="1159464792">
    <w:abstractNumId w:val="26"/>
  </w:num>
  <w:num w:numId="3" w16cid:durableId="2065980802">
    <w:abstractNumId w:val="14"/>
  </w:num>
  <w:num w:numId="4" w16cid:durableId="430781473">
    <w:abstractNumId w:val="2"/>
  </w:num>
  <w:num w:numId="5" w16cid:durableId="1107427341">
    <w:abstractNumId w:val="33"/>
  </w:num>
  <w:num w:numId="6" w16cid:durableId="1338194486">
    <w:abstractNumId w:val="33"/>
    <w:lvlOverride w:ilvl="0">
      <w:startOverride w:val="1"/>
    </w:lvlOverride>
  </w:num>
  <w:num w:numId="7" w16cid:durableId="738015284">
    <w:abstractNumId w:val="12"/>
  </w:num>
  <w:num w:numId="8" w16cid:durableId="1806923546">
    <w:abstractNumId w:val="18"/>
  </w:num>
  <w:num w:numId="9" w16cid:durableId="2112584190">
    <w:abstractNumId w:val="24"/>
  </w:num>
  <w:num w:numId="10" w16cid:durableId="1391727596">
    <w:abstractNumId w:val="31"/>
  </w:num>
  <w:num w:numId="11" w16cid:durableId="1374427770">
    <w:abstractNumId w:val="19"/>
  </w:num>
  <w:num w:numId="12" w16cid:durableId="263392080">
    <w:abstractNumId w:val="10"/>
  </w:num>
  <w:num w:numId="13" w16cid:durableId="2106612109">
    <w:abstractNumId w:val="22"/>
  </w:num>
  <w:num w:numId="14" w16cid:durableId="1961761753">
    <w:abstractNumId w:val="6"/>
  </w:num>
  <w:num w:numId="15" w16cid:durableId="844052062">
    <w:abstractNumId w:val="10"/>
    <w:lvlOverride w:ilvl="0">
      <w:startOverride w:val="1"/>
    </w:lvlOverride>
  </w:num>
  <w:num w:numId="16" w16cid:durableId="1419474100">
    <w:abstractNumId w:val="30"/>
  </w:num>
  <w:num w:numId="17" w16cid:durableId="190076186">
    <w:abstractNumId w:val="2"/>
    <w:lvlOverride w:ilvl="0">
      <w:startOverride w:val="1"/>
    </w:lvlOverride>
  </w:num>
  <w:num w:numId="18" w16cid:durableId="1871145961">
    <w:abstractNumId w:val="15"/>
  </w:num>
  <w:num w:numId="19" w16cid:durableId="697513722">
    <w:abstractNumId w:val="7"/>
  </w:num>
  <w:num w:numId="20" w16cid:durableId="869033963">
    <w:abstractNumId w:val="33"/>
    <w:lvlOverride w:ilvl="0">
      <w:startOverride w:val="1"/>
    </w:lvlOverride>
  </w:num>
  <w:num w:numId="21" w16cid:durableId="1150438252">
    <w:abstractNumId w:val="17"/>
  </w:num>
  <w:num w:numId="22" w16cid:durableId="260457579">
    <w:abstractNumId w:val="8"/>
  </w:num>
  <w:num w:numId="23" w16cid:durableId="453599621">
    <w:abstractNumId w:val="33"/>
    <w:lvlOverride w:ilvl="0">
      <w:startOverride w:val="1"/>
    </w:lvlOverride>
  </w:num>
  <w:num w:numId="24" w16cid:durableId="880896269">
    <w:abstractNumId w:val="32"/>
  </w:num>
  <w:num w:numId="25" w16cid:durableId="1613897483">
    <w:abstractNumId w:val="20"/>
  </w:num>
  <w:num w:numId="26" w16cid:durableId="1164858688">
    <w:abstractNumId w:val="5"/>
  </w:num>
  <w:num w:numId="27" w16cid:durableId="1242640272">
    <w:abstractNumId w:val="13"/>
  </w:num>
  <w:num w:numId="28" w16cid:durableId="319114108">
    <w:abstractNumId w:val="28"/>
  </w:num>
  <w:num w:numId="29" w16cid:durableId="1420252899">
    <w:abstractNumId w:val="9"/>
  </w:num>
  <w:num w:numId="30" w16cid:durableId="939795910">
    <w:abstractNumId w:val="29"/>
  </w:num>
  <w:num w:numId="31" w16cid:durableId="884293660">
    <w:abstractNumId w:val="33"/>
  </w:num>
  <w:num w:numId="32" w16cid:durableId="288896179">
    <w:abstractNumId w:val="1"/>
  </w:num>
  <w:num w:numId="33" w16cid:durableId="348145444">
    <w:abstractNumId w:val="0"/>
  </w:num>
  <w:num w:numId="34" w16cid:durableId="481459705">
    <w:abstractNumId w:val="3"/>
  </w:num>
  <w:num w:numId="35" w16cid:durableId="1952975760">
    <w:abstractNumId w:val="4"/>
  </w:num>
  <w:num w:numId="36" w16cid:durableId="1899969389">
    <w:abstractNumId w:val="23"/>
  </w:num>
  <w:num w:numId="37" w16cid:durableId="1482649011">
    <w:abstractNumId w:val="34"/>
  </w:num>
  <w:num w:numId="38" w16cid:durableId="435491845">
    <w:abstractNumId w:val="11"/>
  </w:num>
  <w:num w:numId="39" w16cid:durableId="562718198">
    <w:abstractNumId w:val="27"/>
  </w:num>
  <w:num w:numId="40" w16cid:durableId="1627928611">
    <w:abstractNumId w:val="25"/>
  </w:num>
  <w:num w:numId="41" w16cid:durableId="1793986008">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de-DE" w:vendorID="64" w:dllVersion="6" w:nlCheck="1" w:checkStyle="1"/>
  <w:activeWritingStyle w:appName="MSWord" w:lang="en-US"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de-DE" w:vendorID="64" w:dllVersion="0" w:nlCheck="1" w:checkStyle="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consecutiveHyphenLimit w:val="2"/>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IwNTI1NbI0NDAxNzJQ0lEKTi0uzszPAykwtKwFAL8DQC8tAAAA"/>
  </w:docVars>
  <w:rsids>
    <w:rsidRoot w:val="00AE4D7B"/>
    <w:rsid w:val="00000489"/>
    <w:rsid w:val="00001F40"/>
    <w:rsid w:val="0000348E"/>
    <w:rsid w:val="00003BD9"/>
    <w:rsid w:val="000049EE"/>
    <w:rsid w:val="00004ED7"/>
    <w:rsid w:val="00005197"/>
    <w:rsid w:val="0000599A"/>
    <w:rsid w:val="00007973"/>
    <w:rsid w:val="0001329A"/>
    <w:rsid w:val="000167B1"/>
    <w:rsid w:val="0002071B"/>
    <w:rsid w:val="000250E5"/>
    <w:rsid w:val="000258A2"/>
    <w:rsid w:val="0002716F"/>
    <w:rsid w:val="000274D1"/>
    <w:rsid w:val="00027948"/>
    <w:rsid w:val="0003080E"/>
    <w:rsid w:val="00031043"/>
    <w:rsid w:val="00031C47"/>
    <w:rsid w:val="000329CD"/>
    <w:rsid w:val="00034C1E"/>
    <w:rsid w:val="000358A7"/>
    <w:rsid w:val="00037440"/>
    <w:rsid w:val="00040A03"/>
    <w:rsid w:val="00041070"/>
    <w:rsid w:val="00043501"/>
    <w:rsid w:val="00043981"/>
    <w:rsid w:val="00044686"/>
    <w:rsid w:val="00045521"/>
    <w:rsid w:val="00045F05"/>
    <w:rsid w:val="00046A0A"/>
    <w:rsid w:val="00047CD5"/>
    <w:rsid w:val="00050347"/>
    <w:rsid w:val="00050D82"/>
    <w:rsid w:val="0005151A"/>
    <w:rsid w:val="000515FA"/>
    <w:rsid w:val="0005207A"/>
    <w:rsid w:val="0005262B"/>
    <w:rsid w:val="00052E34"/>
    <w:rsid w:val="00053149"/>
    <w:rsid w:val="00053ADB"/>
    <w:rsid w:val="00054042"/>
    <w:rsid w:val="00054C77"/>
    <w:rsid w:val="0006201F"/>
    <w:rsid w:val="0006223C"/>
    <w:rsid w:val="000632D4"/>
    <w:rsid w:val="00063627"/>
    <w:rsid w:val="000643FC"/>
    <w:rsid w:val="000645E1"/>
    <w:rsid w:val="0006466F"/>
    <w:rsid w:val="0006534A"/>
    <w:rsid w:val="000657B8"/>
    <w:rsid w:val="000664F5"/>
    <w:rsid w:val="00066586"/>
    <w:rsid w:val="00066BE3"/>
    <w:rsid w:val="00067632"/>
    <w:rsid w:val="000678D1"/>
    <w:rsid w:val="00067DBF"/>
    <w:rsid w:val="000708C2"/>
    <w:rsid w:val="00073DC4"/>
    <w:rsid w:val="00074B23"/>
    <w:rsid w:val="00074FF9"/>
    <w:rsid w:val="00076360"/>
    <w:rsid w:val="000764CA"/>
    <w:rsid w:val="000765A9"/>
    <w:rsid w:val="00077282"/>
    <w:rsid w:val="00077E4E"/>
    <w:rsid w:val="00081358"/>
    <w:rsid w:val="000822FC"/>
    <w:rsid w:val="00082E05"/>
    <w:rsid w:val="00085253"/>
    <w:rsid w:val="0008559C"/>
    <w:rsid w:val="00085FDB"/>
    <w:rsid w:val="0008710A"/>
    <w:rsid w:val="000878E9"/>
    <w:rsid w:val="00087A41"/>
    <w:rsid w:val="00087E01"/>
    <w:rsid w:val="00090321"/>
    <w:rsid w:val="00091314"/>
    <w:rsid w:val="00092A00"/>
    <w:rsid w:val="00092E02"/>
    <w:rsid w:val="000950B6"/>
    <w:rsid w:val="000955BD"/>
    <w:rsid w:val="00096B89"/>
    <w:rsid w:val="00096F19"/>
    <w:rsid w:val="00096FEA"/>
    <w:rsid w:val="000A0DE4"/>
    <w:rsid w:val="000A19B0"/>
    <w:rsid w:val="000A24DC"/>
    <w:rsid w:val="000A2F95"/>
    <w:rsid w:val="000A4996"/>
    <w:rsid w:val="000A7570"/>
    <w:rsid w:val="000A7626"/>
    <w:rsid w:val="000A7C1E"/>
    <w:rsid w:val="000B08AF"/>
    <w:rsid w:val="000B1092"/>
    <w:rsid w:val="000B217C"/>
    <w:rsid w:val="000B25D4"/>
    <w:rsid w:val="000B30B2"/>
    <w:rsid w:val="000B3A3C"/>
    <w:rsid w:val="000B3B45"/>
    <w:rsid w:val="000B60C4"/>
    <w:rsid w:val="000B6779"/>
    <w:rsid w:val="000B71D3"/>
    <w:rsid w:val="000B72B9"/>
    <w:rsid w:val="000C0074"/>
    <w:rsid w:val="000C0539"/>
    <w:rsid w:val="000C064D"/>
    <w:rsid w:val="000C0DD7"/>
    <w:rsid w:val="000C117A"/>
    <w:rsid w:val="000C18F7"/>
    <w:rsid w:val="000C21D9"/>
    <w:rsid w:val="000C2B8B"/>
    <w:rsid w:val="000C332A"/>
    <w:rsid w:val="000C34EA"/>
    <w:rsid w:val="000C626E"/>
    <w:rsid w:val="000C6AB3"/>
    <w:rsid w:val="000C7442"/>
    <w:rsid w:val="000C78BB"/>
    <w:rsid w:val="000C7FB3"/>
    <w:rsid w:val="000D038C"/>
    <w:rsid w:val="000D4D45"/>
    <w:rsid w:val="000D4FB3"/>
    <w:rsid w:val="000D698F"/>
    <w:rsid w:val="000E08AF"/>
    <w:rsid w:val="000E115A"/>
    <w:rsid w:val="000E2FE5"/>
    <w:rsid w:val="000E356D"/>
    <w:rsid w:val="000E4139"/>
    <w:rsid w:val="000E4DAF"/>
    <w:rsid w:val="000F05FC"/>
    <w:rsid w:val="000F09E3"/>
    <w:rsid w:val="000F1BA0"/>
    <w:rsid w:val="000F1C9D"/>
    <w:rsid w:val="000F1E29"/>
    <w:rsid w:val="000F2414"/>
    <w:rsid w:val="000F2756"/>
    <w:rsid w:val="000F2B04"/>
    <w:rsid w:val="000F3186"/>
    <w:rsid w:val="000F4783"/>
    <w:rsid w:val="000F58C7"/>
    <w:rsid w:val="000F6B11"/>
    <w:rsid w:val="000F736C"/>
    <w:rsid w:val="00100E20"/>
    <w:rsid w:val="00105672"/>
    <w:rsid w:val="001079DC"/>
    <w:rsid w:val="00110034"/>
    <w:rsid w:val="00110174"/>
    <w:rsid w:val="00110995"/>
    <w:rsid w:val="00112650"/>
    <w:rsid w:val="001157D5"/>
    <w:rsid w:val="00115985"/>
    <w:rsid w:val="00115BF7"/>
    <w:rsid w:val="00115D1B"/>
    <w:rsid w:val="00116223"/>
    <w:rsid w:val="00116C76"/>
    <w:rsid w:val="00116D47"/>
    <w:rsid w:val="00117A5A"/>
    <w:rsid w:val="00120295"/>
    <w:rsid w:val="001212CC"/>
    <w:rsid w:val="0012141D"/>
    <w:rsid w:val="0012161D"/>
    <w:rsid w:val="00122F2F"/>
    <w:rsid w:val="001245F5"/>
    <w:rsid w:val="00125002"/>
    <w:rsid w:val="001277DB"/>
    <w:rsid w:val="001305CC"/>
    <w:rsid w:val="00131DE8"/>
    <w:rsid w:val="001328DB"/>
    <w:rsid w:val="001329FD"/>
    <w:rsid w:val="001336B0"/>
    <w:rsid w:val="00133DE6"/>
    <w:rsid w:val="00133E50"/>
    <w:rsid w:val="0013419F"/>
    <w:rsid w:val="0013431C"/>
    <w:rsid w:val="00134776"/>
    <w:rsid w:val="00135826"/>
    <w:rsid w:val="001363F2"/>
    <w:rsid w:val="001368CB"/>
    <w:rsid w:val="001372C6"/>
    <w:rsid w:val="00137554"/>
    <w:rsid w:val="00137F98"/>
    <w:rsid w:val="001414EF"/>
    <w:rsid w:val="00142427"/>
    <w:rsid w:val="00142F33"/>
    <w:rsid w:val="00143089"/>
    <w:rsid w:val="00144075"/>
    <w:rsid w:val="001459A4"/>
    <w:rsid w:val="00146DC4"/>
    <w:rsid w:val="00147720"/>
    <w:rsid w:val="00150256"/>
    <w:rsid w:val="001510B6"/>
    <w:rsid w:val="0015136E"/>
    <w:rsid w:val="0015179D"/>
    <w:rsid w:val="00152E46"/>
    <w:rsid w:val="00156A7E"/>
    <w:rsid w:val="001577C0"/>
    <w:rsid w:val="00157B94"/>
    <w:rsid w:val="00157DD9"/>
    <w:rsid w:val="001601D0"/>
    <w:rsid w:val="001602D7"/>
    <w:rsid w:val="00160594"/>
    <w:rsid w:val="00161F1E"/>
    <w:rsid w:val="001625A1"/>
    <w:rsid w:val="00162AEB"/>
    <w:rsid w:val="001635E4"/>
    <w:rsid w:val="00163B10"/>
    <w:rsid w:val="00165095"/>
    <w:rsid w:val="001650E6"/>
    <w:rsid w:val="00165798"/>
    <w:rsid w:val="0016608A"/>
    <w:rsid w:val="00174854"/>
    <w:rsid w:val="00174F98"/>
    <w:rsid w:val="00176BDC"/>
    <w:rsid w:val="00176E5F"/>
    <w:rsid w:val="00176EC2"/>
    <w:rsid w:val="00180179"/>
    <w:rsid w:val="001816A3"/>
    <w:rsid w:val="00182179"/>
    <w:rsid w:val="00182404"/>
    <w:rsid w:val="0018259B"/>
    <w:rsid w:val="001843E2"/>
    <w:rsid w:val="00185158"/>
    <w:rsid w:val="00185E91"/>
    <w:rsid w:val="001864FB"/>
    <w:rsid w:val="00190872"/>
    <w:rsid w:val="001928AD"/>
    <w:rsid w:val="00192C28"/>
    <w:rsid w:val="0019308C"/>
    <w:rsid w:val="00193624"/>
    <w:rsid w:val="00194D80"/>
    <w:rsid w:val="0019557D"/>
    <w:rsid w:val="0019677D"/>
    <w:rsid w:val="00197354"/>
    <w:rsid w:val="00197C8C"/>
    <w:rsid w:val="00197E77"/>
    <w:rsid w:val="001A00EE"/>
    <w:rsid w:val="001A14B7"/>
    <w:rsid w:val="001A20E2"/>
    <w:rsid w:val="001A20F2"/>
    <w:rsid w:val="001A33A5"/>
    <w:rsid w:val="001A34ED"/>
    <w:rsid w:val="001A3771"/>
    <w:rsid w:val="001A43F4"/>
    <w:rsid w:val="001B095F"/>
    <w:rsid w:val="001B1882"/>
    <w:rsid w:val="001B3880"/>
    <w:rsid w:val="001B38DB"/>
    <w:rsid w:val="001B391C"/>
    <w:rsid w:val="001B5914"/>
    <w:rsid w:val="001B772C"/>
    <w:rsid w:val="001C1923"/>
    <w:rsid w:val="001C2D1F"/>
    <w:rsid w:val="001C5A91"/>
    <w:rsid w:val="001C60C2"/>
    <w:rsid w:val="001C6D8A"/>
    <w:rsid w:val="001D00DD"/>
    <w:rsid w:val="001D30CF"/>
    <w:rsid w:val="001D4155"/>
    <w:rsid w:val="001D631B"/>
    <w:rsid w:val="001D6CB7"/>
    <w:rsid w:val="001D6ED1"/>
    <w:rsid w:val="001D7690"/>
    <w:rsid w:val="001E1DBD"/>
    <w:rsid w:val="001E2605"/>
    <w:rsid w:val="001E2648"/>
    <w:rsid w:val="001E497B"/>
    <w:rsid w:val="001E53D0"/>
    <w:rsid w:val="001E5F1E"/>
    <w:rsid w:val="001F37E6"/>
    <w:rsid w:val="001F5776"/>
    <w:rsid w:val="001F691F"/>
    <w:rsid w:val="001F6E88"/>
    <w:rsid w:val="001F7BB9"/>
    <w:rsid w:val="001F7E01"/>
    <w:rsid w:val="002017F0"/>
    <w:rsid w:val="002035AD"/>
    <w:rsid w:val="00204BC2"/>
    <w:rsid w:val="00204E04"/>
    <w:rsid w:val="00205CF9"/>
    <w:rsid w:val="00210E4D"/>
    <w:rsid w:val="0021250D"/>
    <w:rsid w:val="0021309C"/>
    <w:rsid w:val="0021333A"/>
    <w:rsid w:val="00214D53"/>
    <w:rsid w:val="00215384"/>
    <w:rsid w:val="00215B6F"/>
    <w:rsid w:val="00215EAD"/>
    <w:rsid w:val="00216F7B"/>
    <w:rsid w:val="002209A0"/>
    <w:rsid w:val="00220BC5"/>
    <w:rsid w:val="0022169F"/>
    <w:rsid w:val="00221FC1"/>
    <w:rsid w:val="00222805"/>
    <w:rsid w:val="00222CF8"/>
    <w:rsid w:val="00223F3F"/>
    <w:rsid w:val="0022566D"/>
    <w:rsid w:val="00225E1A"/>
    <w:rsid w:val="00226412"/>
    <w:rsid w:val="00226813"/>
    <w:rsid w:val="002302D5"/>
    <w:rsid w:val="002306BF"/>
    <w:rsid w:val="00230D8F"/>
    <w:rsid w:val="00231DD4"/>
    <w:rsid w:val="00231E74"/>
    <w:rsid w:val="002320CF"/>
    <w:rsid w:val="00232B23"/>
    <w:rsid w:val="00233178"/>
    <w:rsid w:val="0023328C"/>
    <w:rsid w:val="0023398F"/>
    <w:rsid w:val="00233C63"/>
    <w:rsid w:val="00235928"/>
    <w:rsid w:val="0023682F"/>
    <w:rsid w:val="00236926"/>
    <w:rsid w:val="00236E59"/>
    <w:rsid w:val="002372AB"/>
    <w:rsid w:val="00243DBF"/>
    <w:rsid w:val="00243E59"/>
    <w:rsid w:val="00243ECF"/>
    <w:rsid w:val="00244DB7"/>
    <w:rsid w:val="0024552E"/>
    <w:rsid w:val="002455D9"/>
    <w:rsid w:val="0025211E"/>
    <w:rsid w:val="00252298"/>
    <w:rsid w:val="002548C9"/>
    <w:rsid w:val="00254F6C"/>
    <w:rsid w:val="00255DC7"/>
    <w:rsid w:val="00262264"/>
    <w:rsid w:val="00262497"/>
    <w:rsid w:val="00263647"/>
    <w:rsid w:val="00264752"/>
    <w:rsid w:val="00273CDB"/>
    <w:rsid w:val="002760B6"/>
    <w:rsid w:val="00276490"/>
    <w:rsid w:val="00276A52"/>
    <w:rsid w:val="00276BF4"/>
    <w:rsid w:val="002771B0"/>
    <w:rsid w:val="00280758"/>
    <w:rsid w:val="00281A90"/>
    <w:rsid w:val="00283299"/>
    <w:rsid w:val="00283956"/>
    <w:rsid w:val="002858CE"/>
    <w:rsid w:val="00285A45"/>
    <w:rsid w:val="002865F1"/>
    <w:rsid w:val="00286CBF"/>
    <w:rsid w:val="0029157A"/>
    <w:rsid w:val="00292840"/>
    <w:rsid w:val="00295808"/>
    <w:rsid w:val="00295DA3"/>
    <w:rsid w:val="002A03B5"/>
    <w:rsid w:val="002A12F2"/>
    <w:rsid w:val="002A1C3A"/>
    <w:rsid w:val="002A21BD"/>
    <w:rsid w:val="002A2FF8"/>
    <w:rsid w:val="002A30C3"/>
    <w:rsid w:val="002A3548"/>
    <w:rsid w:val="002A4691"/>
    <w:rsid w:val="002A58D9"/>
    <w:rsid w:val="002A5980"/>
    <w:rsid w:val="002A5DE7"/>
    <w:rsid w:val="002A5E85"/>
    <w:rsid w:val="002A6DED"/>
    <w:rsid w:val="002A7384"/>
    <w:rsid w:val="002A74CB"/>
    <w:rsid w:val="002A75D8"/>
    <w:rsid w:val="002B00FE"/>
    <w:rsid w:val="002B03FE"/>
    <w:rsid w:val="002B1378"/>
    <w:rsid w:val="002B1BD7"/>
    <w:rsid w:val="002B1CC7"/>
    <w:rsid w:val="002B3196"/>
    <w:rsid w:val="002B32A3"/>
    <w:rsid w:val="002B3BF2"/>
    <w:rsid w:val="002B4121"/>
    <w:rsid w:val="002B5835"/>
    <w:rsid w:val="002B5AB9"/>
    <w:rsid w:val="002B67D4"/>
    <w:rsid w:val="002B7AAC"/>
    <w:rsid w:val="002C13D7"/>
    <w:rsid w:val="002C26C5"/>
    <w:rsid w:val="002C2949"/>
    <w:rsid w:val="002C3E27"/>
    <w:rsid w:val="002C683C"/>
    <w:rsid w:val="002C7BE6"/>
    <w:rsid w:val="002C7D11"/>
    <w:rsid w:val="002D1005"/>
    <w:rsid w:val="002D2A5A"/>
    <w:rsid w:val="002D31BB"/>
    <w:rsid w:val="002D4561"/>
    <w:rsid w:val="002D603A"/>
    <w:rsid w:val="002D6B93"/>
    <w:rsid w:val="002D7D83"/>
    <w:rsid w:val="002E0821"/>
    <w:rsid w:val="002E0E36"/>
    <w:rsid w:val="002E7E7C"/>
    <w:rsid w:val="002F0DF9"/>
    <w:rsid w:val="002F1780"/>
    <w:rsid w:val="002F1D5F"/>
    <w:rsid w:val="002F1DCF"/>
    <w:rsid w:val="002F38FC"/>
    <w:rsid w:val="002F476F"/>
    <w:rsid w:val="002F484B"/>
    <w:rsid w:val="002F50B3"/>
    <w:rsid w:val="002F572C"/>
    <w:rsid w:val="002F5800"/>
    <w:rsid w:val="002F7670"/>
    <w:rsid w:val="00300F2A"/>
    <w:rsid w:val="003036EA"/>
    <w:rsid w:val="00303DF5"/>
    <w:rsid w:val="003051B3"/>
    <w:rsid w:val="00305BFA"/>
    <w:rsid w:val="00305E6E"/>
    <w:rsid w:val="0030798B"/>
    <w:rsid w:val="00310185"/>
    <w:rsid w:val="003105C0"/>
    <w:rsid w:val="00310964"/>
    <w:rsid w:val="003115A0"/>
    <w:rsid w:val="00313891"/>
    <w:rsid w:val="00316E68"/>
    <w:rsid w:val="00321B4E"/>
    <w:rsid w:val="003223AC"/>
    <w:rsid w:val="00322B43"/>
    <w:rsid w:val="003237D0"/>
    <w:rsid w:val="00323C3D"/>
    <w:rsid w:val="003242B1"/>
    <w:rsid w:val="00324723"/>
    <w:rsid w:val="0032786F"/>
    <w:rsid w:val="00331C6A"/>
    <w:rsid w:val="00331FEA"/>
    <w:rsid w:val="00332533"/>
    <w:rsid w:val="00332A51"/>
    <w:rsid w:val="00332BEC"/>
    <w:rsid w:val="0034036F"/>
    <w:rsid w:val="003418DF"/>
    <w:rsid w:val="00343C3A"/>
    <w:rsid w:val="00345807"/>
    <w:rsid w:val="00350CE0"/>
    <w:rsid w:val="00350EF9"/>
    <w:rsid w:val="00351122"/>
    <w:rsid w:val="00352906"/>
    <w:rsid w:val="00353130"/>
    <w:rsid w:val="003536D9"/>
    <w:rsid w:val="00353D2D"/>
    <w:rsid w:val="003549CF"/>
    <w:rsid w:val="0035525D"/>
    <w:rsid w:val="00355C90"/>
    <w:rsid w:val="003567A9"/>
    <w:rsid w:val="003568E3"/>
    <w:rsid w:val="00360966"/>
    <w:rsid w:val="00360CC2"/>
    <w:rsid w:val="0036118E"/>
    <w:rsid w:val="0036261B"/>
    <w:rsid w:val="00362F13"/>
    <w:rsid w:val="00372272"/>
    <w:rsid w:val="0037399A"/>
    <w:rsid w:val="00373AA0"/>
    <w:rsid w:val="003742F8"/>
    <w:rsid w:val="0037458D"/>
    <w:rsid w:val="00374727"/>
    <w:rsid w:val="00374E13"/>
    <w:rsid w:val="003769FC"/>
    <w:rsid w:val="0037793E"/>
    <w:rsid w:val="00380D9C"/>
    <w:rsid w:val="003814BF"/>
    <w:rsid w:val="0038197F"/>
    <w:rsid w:val="0038443D"/>
    <w:rsid w:val="00385D77"/>
    <w:rsid w:val="0038740B"/>
    <w:rsid w:val="0039127F"/>
    <w:rsid w:val="0039208F"/>
    <w:rsid w:val="003925F7"/>
    <w:rsid w:val="00394859"/>
    <w:rsid w:val="00394931"/>
    <w:rsid w:val="00394BAC"/>
    <w:rsid w:val="0039511B"/>
    <w:rsid w:val="003951BE"/>
    <w:rsid w:val="00396290"/>
    <w:rsid w:val="00396ABF"/>
    <w:rsid w:val="00397AB9"/>
    <w:rsid w:val="003A0294"/>
    <w:rsid w:val="003A0395"/>
    <w:rsid w:val="003A045D"/>
    <w:rsid w:val="003A0D25"/>
    <w:rsid w:val="003A1744"/>
    <w:rsid w:val="003A1EAA"/>
    <w:rsid w:val="003A2FFA"/>
    <w:rsid w:val="003A3874"/>
    <w:rsid w:val="003B1379"/>
    <w:rsid w:val="003B37B4"/>
    <w:rsid w:val="003B394C"/>
    <w:rsid w:val="003B5264"/>
    <w:rsid w:val="003B5613"/>
    <w:rsid w:val="003B7CDA"/>
    <w:rsid w:val="003C0742"/>
    <w:rsid w:val="003C12D7"/>
    <w:rsid w:val="003C13D6"/>
    <w:rsid w:val="003C2029"/>
    <w:rsid w:val="003C2715"/>
    <w:rsid w:val="003C3BE0"/>
    <w:rsid w:val="003C4149"/>
    <w:rsid w:val="003C53D1"/>
    <w:rsid w:val="003C5C8E"/>
    <w:rsid w:val="003C6478"/>
    <w:rsid w:val="003C7C93"/>
    <w:rsid w:val="003C7C97"/>
    <w:rsid w:val="003D2BA8"/>
    <w:rsid w:val="003D2C3D"/>
    <w:rsid w:val="003D44E1"/>
    <w:rsid w:val="003D4B1C"/>
    <w:rsid w:val="003D4DB5"/>
    <w:rsid w:val="003D5038"/>
    <w:rsid w:val="003D5C74"/>
    <w:rsid w:val="003D6BB9"/>
    <w:rsid w:val="003D6CC4"/>
    <w:rsid w:val="003D7190"/>
    <w:rsid w:val="003D7F06"/>
    <w:rsid w:val="003E0AFC"/>
    <w:rsid w:val="003E76A1"/>
    <w:rsid w:val="003E781C"/>
    <w:rsid w:val="003F2FD4"/>
    <w:rsid w:val="003F38C6"/>
    <w:rsid w:val="003F3A48"/>
    <w:rsid w:val="003F4480"/>
    <w:rsid w:val="003F529E"/>
    <w:rsid w:val="003F5875"/>
    <w:rsid w:val="003F6D53"/>
    <w:rsid w:val="0040052F"/>
    <w:rsid w:val="00402464"/>
    <w:rsid w:val="00402EA6"/>
    <w:rsid w:val="00403A54"/>
    <w:rsid w:val="0040439D"/>
    <w:rsid w:val="004047D1"/>
    <w:rsid w:val="00404C78"/>
    <w:rsid w:val="004061D7"/>
    <w:rsid w:val="004069A9"/>
    <w:rsid w:val="004116C9"/>
    <w:rsid w:val="00411CA4"/>
    <w:rsid w:val="004123B7"/>
    <w:rsid w:val="00413FDE"/>
    <w:rsid w:val="004148C4"/>
    <w:rsid w:val="00415BEC"/>
    <w:rsid w:val="0041613D"/>
    <w:rsid w:val="00417F47"/>
    <w:rsid w:val="004207E5"/>
    <w:rsid w:val="00420DEE"/>
    <w:rsid w:val="00421216"/>
    <w:rsid w:val="00421A58"/>
    <w:rsid w:val="00422065"/>
    <w:rsid w:val="00422332"/>
    <w:rsid w:val="004224AA"/>
    <w:rsid w:val="00422B60"/>
    <w:rsid w:val="00423989"/>
    <w:rsid w:val="004247B0"/>
    <w:rsid w:val="00425446"/>
    <w:rsid w:val="004259FD"/>
    <w:rsid w:val="00427717"/>
    <w:rsid w:val="004312E7"/>
    <w:rsid w:val="00431C3A"/>
    <w:rsid w:val="004333EB"/>
    <w:rsid w:val="00434B03"/>
    <w:rsid w:val="004360C2"/>
    <w:rsid w:val="00437E79"/>
    <w:rsid w:val="004412B1"/>
    <w:rsid w:val="00441F38"/>
    <w:rsid w:val="004421B8"/>
    <w:rsid w:val="00442D43"/>
    <w:rsid w:val="004430BA"/>
    <w:rsid w:val="004440D2"/>
    <w:rsid w:val="0044426E"/>
    <w:rsid w:val="00444282"/>
    <w:rsid w:val="00444C57"/>
    <w:rsid w:val="00451F9C"/>
    <w:rsid w:val="00452010"/>
    <w:rsid w:val="00453D2E"/>
    <w:rsid w:val="004545C5"/>
    <w:rsid w:val="004546B5"/>
    <w:rsid w:val="004549B8"/>
    <w:rsid w:val="00456B89"/>
    <w:rsid w:val="00457461"/>
    <w:rsid w:val="00460353"/>
    <w:rsid w:val="004612CA"/>
    <w:rsid w:val="004648B1"/>
    <w:rsid w:val="00465439"/>
    <w:rsid w:val="0046572B"/>
    <w:rsid w:val="00466A33"/>
    <w:rsid w:val="00467FB9"/>
    <w:rsid w:val="0047357F"/>
    <w:rsid w:val="0047404D"/>
    <w:rsid w:val="00475C13"/>
    <w:rsid w:val="00481759"/>
    <w:rsid w:val="00481FFC"/>
    <w:rsid w:val="004824D7"/>
    <w:rsid w:val="0048321A"/>
    <w:rsid w:val="004838B2"/>
    <w:rsid w:val="00483A33"/>
    <w:rsid w:val="004849A8"/>
    <w:rsid w:val="00484B44"/>
    <w:rsid w:val="00484D88"/>
    <w:rsid w:val="00484E82"/>
    <w:rsid w:val="00487FDA"/>
    <w:rsid w:val="004916A4"/>
    <w:rsid w:val="00492DAB"/>
    <w:rsid w:val="0049308D"/>
    <w:rsid w:val="00493853"/>
    <w:rsid w:val="00494D87"/>
    <w:rsid w:val="00495332"/>
    <w:rsid w:val="0049600E"/>
    <w:rsid w:val="004A29B5"/>
    <w:rsid w:val="004A4315"/>
    <w:rsid w:val="004A4E3E"/>
    <w:rsid w:val="004A5828"/>
    <w:rsid w:val="004A6B20"/>
    <w:rsid w:val="004B0129"/>
    <w:rsid w:val="004B3D32"/>
    <w:rsid w:val="004B4624"/>
    <w:rsid w:val="004B556F"/>
    <w:rsid w:val="004B72AA"/>
    <w:rsid w:val="004C16FF"/>
    <w:rsid w:val="004C40D3"/>
    <w:rsid w:val="004C4235"/>
    <w:rsid w:val="004C4B56"/>
    <w:rsid w:val="004C5836"/>
    <w:rsid w:val="004C5DC7"/>
    <w:rsid w:val="004C67ED"/>
    <w:rsid w:val="004C6C8A"/>
    <w:rsid w:val="004C7100"/>
    <w:rsid w:val="004C750F"/>
    <w:rsid w:val="004D28F8"/>
    <w:rsid w:val="004D2987"/>
    <w:rsid w:val="004D2A47"/>
    <w:rsid w:val="004D515A"/>
    <w:rsid w:val="004D5BD3"/>
    <w:rsid w:val="004D64A6"/>
    <w:rsid w:val="004D72D7"/>
    <w:rsid w:val="004D7D1A"/>
    <w:rsid w:val="004E0F11"/>
    <w:rsid w:val="004E19EB"/>
    <w:rsid w:val="004E1BF3"/>
    <w:rsid w:val="004E3E52"/>
    <w:rsid w:val="004E47DA"/>
    <w:rsid w:val="004E4FCA"/>
    <w:rsid w:val="004E7C39"/>
    <w:rsid w:val="004F1303"/>
    <w:rsid w:val="004F1CF8"/>
    <w:rsid w:val="004F2201"/>
    <w:rsid w:val="004F2EB7"/>
    <w:rsid w:val="004F6DBF"/>
    <w:rsid w:val="004F7706"/>
    <w:rsid w:val="004F7CA6"/>
    <w:rsid w:val="00500DBB"/>
    <w:rsid w:val="00500FE9"/>
    <w:rsid w:val="005030C4"/>
    <w:rsid w:val="00503BF5"/>
    <w:rsid w:val="005053BB"/>
    <w:rsid w:val="005055F3"/>
    <w:rsid w:val="00505887"/>
    <w:rsid w:val="005058F5"/>
    <w:rsid w:val="00505975"/>
    <w:rsid w:val="00505E24"/>
    <w:rsid w:val="00506871"/>
    <w:rsid w:val="00506C02"/>
    <w:rsid w:val="00510503"/>
    <w:rsid w:val="00511CD8"/>
    <w:rsid w:val="00511E55"/>
    <w:rsid w:val="00512136"/>
    <w:rsid w:val="00512BD1"/>
    <w:rsid w:val="00512FD4"/>
    <w:rsid w:val="0051450B"/>
    <w:rsid w:val="00517CB9"/>
    <w:rsid w:val="005221C5"/>
    <w:rsid w:val="00524751"/>
    <w:rsid w:val="00524926"/>
    <w:rsid w:val="0052510E"/>
    <w:rsid w:val="00525725"/>
    <w:rsid w:val="0052774C"/>
    <w:rsid w:val="00527768"/>
    <w:rsid w:val="0053079A"/>
    <w:rsid w:val="00530D48"/>
    <w:rsid w:val="00532290"/>
    <w:rsid w:val="0053253B"/>
    <w:rsid w:val="00532ABB"/>
    <w:rsid w:val="00537382"/>
    <w:rsid w:val="00542892"/>
    <w:rsid w:val="00543FB3"/>
    <w:rsid w:val="00545122"/>
    <w:rsid w:val="00545659"/>
    <w:rsid w:val="00545AE8"/>
    <w:rsid w:val="00547010"/>
    <w:rsid w:val="00547B6C"/>
    <w:rsid w:val="00552243"/>
    <w:rsid w:val="00553489"/>
    <w:rsid w:val="0055396C"/>
    <w:rsid w:val="00553E81"/>
    <w:rsid w:val="005544EC"/>
    <w:rsid w:val="005564AF"/>
    <w:rsid w:val="005564E5"/>
    <w:rsid w:val="0055658E"/>
    <w:rsid w:val="00556B00"/>
    <w:rsid w:val="00556C71"/>
    <w:rsid w:val="005612C9"/>
    <w:rsid w:val="00563525"/>
    <w:rsid w:val="00563DBA"/>
    <w:rsid w:val="005652B8"/>
    <w:rsid w:val="00565F4D"/>
    <w:rsid w:val="0056704B"/>
    <w:rsid w:val="005674E4"/>
    <w:rsid w:val="00570684"/>
    <w:rsid w:val="0057106C"/>
    <w:rsid w:val="00572721"/>
    <w:rsid w:val="00573827"/>
    <w:rsid w:val="0057408C"/>
    <w:rsid w:val="005740F6"/>
    <w:rsid w:val="00574541"/>
    <w:rsid w:val="005758FE"/>
    <w:rsid w:val="00575E65"/>
    <w:rsid w:val="005779D6"/>
    <w:rsid w:val="00580144"/>
    <w:rsid w:val="0058036F"/>
    <w:rsid w:val="00580BE3"/>
    <w:rsid w:val="00581452"/>
    <w:rsid w:val="00581CDD"/>
    <w:rsid w:val="0058344B"/>
    <w:rsid w:val="005837B4"/>
    <w:rsid w:val="00584771"/>
    <w:rsid w:val="00584D15"/>
    <w:rsid w:val="00584FFE"/>
    <w:rsid w:val="0058574A"/>
    <w:rsid w:val="00586ECF"/>
    <w:rsid w:val="00587EB9"/>
    <w:rsid w:val="00587F5E"/>
    <w:rsid w:val="00591105"/>
    <w:rsid w:val="00591A18"/>
    <w:rsid w:val="0059214F"/>
    <w:rsid w:val="00593789"/>
    <w:rsid w:val="00594833"/>
    <w:rsid w:val="005952E5"/>
    <w:rsid w:val="00595677"/>
    <w:rsid w:val="005A0A69"/>
    <w:rsid w:val="005A0DF5"/>
    <w:rsid w:val="005A12AD"/>
    <w:rsid w:val="005A1E59"/>
    <w:rsid w:val="005A2196"/>
    <w:rsid w:val="005A2418"/>
    <w:rsid w:val="005A36A2"/>
    <w:rsid w:val="005A5DBE"/>
    <w:rsid w:val="005A7B0A"/>
    <w:rsid w:val="005B0A5F"/>
    <w:rsid w:val="005B109D"/>
    <w:rsid w:val="005B42C5"/>
    <w:rsid w:val="005B4617"/>
    <w:rsid w:val="005B47CF"/>
    <w:rsid w:val="005B5D94"/>
    <w:rsid w:val="005B705E"/>
    <w:rsid w:val="005B7C28"/>
    <w:rsid w:val="005C16EC"/>
    <w:rsid w:val="005C1CAD"/>
    <w:rsid w:val="005C257D"/>
    <w:rsid w:val="005C2BB1"/>
    <w:rsid w:val="005C4DF4"/>
    <w:rsid w:val="005C6F8E"/>
    <w:rsid w:val="005C7747"/>
    <w:rsid w:val="005D00A4"/>
    <w:rsid w:val="005D04DB"/>
    <w:rsid w:val="005D07D5"/>
    <w:rsid w:val="005D2498"/>
    <w:rsid w:val="005D2CD6"/>
    <w:rsid w:val="005D70E0"/>
    <w:rsid w:val="005D79CE"/>
    <w:rsid w:val="005D7D55"/>
    <w:rsid w:val="005E36DD"/>
    <w:rsid w:val="005E3C54"/>
    <w:rsid w:val="005E3C73"/>
    <w:rsid w:val="005E6607"/>
    <w:rsid w:val="005F34CC"/>
    <w:rsid w:val="005F674E"/>
    <w:rsid w:val="005F6E33"/>
    <w:rsid w:val="005F70F0"/>
    <w:rsid w:val="005F77AC"/>
    <w:rsid w:val="005F79B6"/>
    <w:rsid w:val="0060025F"/>
    <w:rsid w:val="0060064F"/>
    <w:rsid w:val="006026F3"/>
    <w:rsid w:val="006036BF"/>
    <w:rsid w:val="00603DCB"/>
    <w:rsid w:val="00604670"/>
    <w:rsid w:val="00604E6F"/>
    <w:rsid w:val="00605CDF"/>
    <w:rsid w:val="0060685A"/>
    <w:rsid w:val="00607A19"/>
    <w:rsid w:val="006117B0"/>
    <w:rsid w:val="00611F6A"/>
    <w:rsid w:val="0061289A"/>
    <w:rsid w:val="00615F51"/>
    <w:rsid w:val="00616510"/>
    <w:rsid w:val="006176CB"/>
    <w:rsid w:val="00617CA2"/>
    <w:rsid w:val="00617F23"/>
    <w:rsid w:val="00621C6A"/>
    <w:rsid w:val="0062380F"/>
    <w:rsid w:val="0062557A"/>
    <w:rsid w:val="00626220"/>
    <w:rsid w:val="00627723"/>
    <w:rsid w:val="0062772C"/>
    <w:rsid w:val="00627924"/>
    <w:rsid w:val="00631B2D"/>
    <w:rsid w:val="00635C68"/>
    <w:rsid w:val="00635F28"/>
    <w:rsid w:val="00637B82"/>
    <w:rsid w:val="00640E40"/>
    <w:rsid w:val="0064101E"/>
    <w:rsid w:val="00641759"/>
    <w:rsid w:val="00642B85"/>
    <w:rsid w:val="00642BF1"/>
    <w:rsid w:val="00643E4C"/>
    <w:rsid w:val="00643E99"/>
    <w:rsid w:val="0064430E"/>
    <w:rsid w:val="006452C2"/>
    <w:rsid w:val="0064557D"/>
    <w:rsid w:val="00645590"/>
    <w:rsid w:val="006528CE"/>
    <w:rsid w:val="00652A10"/>
    <w:rsid w:val="00652AA9"/>
    <w:rsid w:val="00652B36"/>
    <w:rsid w:val="00652B38"/>
    <w:rsid w:val="00653570"/>
    <w:rsid w:val="00654327"/>
    <w:rsid w:val="006557D9"/>
    <w:rsid w:val="00657936"/>
    <w:rsid w:val="006620A5"/>
    <w:rsid w:val="0066324A"/>
    <w:rsid w:val="006646CE"/>
    <w:rsid w:val="00664CE0"/>
    <w:rsid w:val="00665948"/>
    <w:rsid w:val="00665E5A"/>
    <w:rsid w:val="00666AEF"/>
    <w:rsid w:val="00667551"/>
    <w:rsid w:val="006676B9"/>
    <w:rsid w:val="00670CA2"/>
    <w:rsid w:val="00673CEF"/>
    <w:rsid w:val="00676577"/>
    <w:rsid w:val="00680114"/>
    <w:rsid w:val="006810D3"/>
    <w:rsid w:val="00681B04"/>
    <w:rsid w:val="006828F4"/>
    <w:rsid w:val="00682DF0"/>
    <w:rsid w:val="00682EAB"/>
    <w:rsid w:val="00682EF5"/>
    <w:rsid w:val="00684425"/>
    <w:rsid w:val="006871BB"/>
    <w:rsid w:val="00687C68"/>
    <w:rsid w:val="00691663"/>
    <w:rsid w:val="006917B1"/>
    <w:rsid w:val="00692B4E"/>
    <w:rsid w:val="006936F9"/>
    <w:rsid w:val="006958B1"/>
    <w:rsid w:val="00696244"/>
    <w:rsid w:val="00696ECB"/>
    <w:rsid w:val="006971AD"/>
    <w:rsid w:val="00697CF7"/>
    <w:rsid w:val="006A2CE9"/>
    <w:rsid w:val="006A4C76"/>
    <w:rsid w:val="006A6456"/>
    <w:rsid w:val="006A6A98"/>
    <w:rsid w:val="006A7716"/>
    <w:rsid w:val="006A781D"/>
    <w:rsid w:val="006B0A25"/>
    <w:rsid w:val="006B1FA5"/>
    <w:rsid w:val="006B2B28"/>
    <w:rsid w:val="006B36AA"/>
    <w:rsid w:val="006B43E9"/>
    <w:rsid w:val="006B4A2D"/>
    <w:rsid w:val="006B53AA"/>
    <w:rsid w:val="006B5AC2"/>
    <w:rsid w:val="006B67A6"/>
    <w:rsid w:val="006B6FE0"/>
    <w:rsid w:val="006C0CC0"/>
    <w:rsid w:val="006C1691"/>
    <w:rsid w:val="006C190D"/>
    <w:rsid w:val="006C2066"/>
    <w:rsid w:val="006C2AAC"/>
    <w:rsid w:val="006C2F59"/>
    <w:rsid w:val="006C4906"/>
    <w:rsid w:val="006C68B1"/>
    <w:rsid w:val="006D047D"/>
    <w:rsid w:val="006D0532"/>
    <w:rsid w:val="006D0D1C"/>
    <w:rsid w:val="006D228B"/>
    <w:rsid w:val="006D2653"/>
    <w:rsid w:val="006D285B"/>
    <w:rsid w:val="006D3376"/>
    <w:rsid w:val="006D45A0"/>
    <w:rsid w:val="006D4E4C"/>
    <w:rsid w:val="006D5202"/>
    <w:rsid w:val="006D5CE0"/>
    <w:rsid w:val="006D77AF"/>
    <w:rsid w:val="006D7F0C"/>
    <w:rsid w:val="006E105A"/>
    <w:rsid w:val="006E1B91"/>
    <w:rsid w:val="006E231B"/>
    <w:rsid w:val="006E2850"/>
    <w:rsid w:val="006E6380"/>
    <w:rsid w:val="006E7126"/>
    <w:rsid w:val="006E7804"/>
    <w:rsid w:val="006E78BC"/>
    <w:rsid w:val="006F0C07"/>
    <w:rsid w:val="006F1C0B"/>
    <w:rsid w:val="006F391B"/>
    <w:rsid w:val="006F3DE7"/>
    <w:rsid w:val="006F3F20"/>
    <w:rsid w:val="006F446B"/>
    <w:rsid w:val="006F460B"/>
    <w:rsid w:val="006F4CAA"/>
    <w:rsid w:val="006F5C86"/>
    <w:rsid w:val="006F67E7"/>
    <w:rsid w:val="006F759E"/>
    <w:rsid w:val="007002A3"/>
    <w:rsid w:val="007017BC"/>
    <w:rsid w:val="0070485F"/>
    <w:rsid w:val="00704F5B"/>
    <w:rsid w:val="007077BD"/>
    <w:rsid w:val="007100E6"/>
    <w:rsid w:val="00712155"/>
    <w:rsid w:val="007141D5"/>
    <w:rsid w:val="00714BE2"/>
    <w:rsid w:val="00714EEA"/>
    <w:rsid w:val="00714F47"/>
    <w:rsid w:val="007156B8"/>
    <w:rsid w:val="00716992"/>
    <w:rsid w:val="00717A3C"/>
    <w:rsid w:val="00720747"/>
    <w:rsid w:val="007219AB"/>
    <w:rsid w:val="007222E0"/>
    <w:rsid w:val="00722758"/>
    <w:rsid w:val="00722A33"/>
    <w:rsid w:val="00722C69"/>
    <w:rsid w:val="00722E9B"/>
    <w:rsid w:val="0072344E"/>
    <w:rsid w:val="00724E0B"/>
    <w:rsid w:val="00727376"/>
    <w:rsid w:val="00727436"/>
    <w:rsid w:val="00730DAA"/>
    <w:rsid w:val="00730F74"/>
    <w:rsid w:val="0073210A"/>
    <w:rsid w:val="00732F96"/>
    <w:rsid w:val="0073311F"/>
    <w:rsid w:val="007333AC"/>
    <w:rsid w:val="007337C0"/>
    <w:rsid w:val="007344EB"/>
    <w:rsid w:val="00734880"/>
    <w:rsid w:val="00734D74"/>
    <w:rsid w:val="00734E38"/>
    <w:rsid w:val="00736444"/>
    <w:rsid w:val="00736E05"/>
    <w:rsid w:val="00737C99"/>
    <w:rsid w:val="00740BD1"/>
    <w:rsid w:val="0074161F"/>
    <w:rsid w:val="00743F20"/>
    <w:rsid w:val="0074445E"/>
    <w:rsid w:val="00751065"/>
    <w:rsid w:val="0075126F"/>
    <w:rsid w:val="00751B63"/>
    <w:rsid w:val="00752440"/>
    <w:rsid w:val="00752C49"/>
    <w:rsid w:val="00752E43"/>
    <w:rsid w:val="007537F6"/>
    <w:rsid w:val="00754D72"/>
    <w:rsid w:val="0075527D"/>
    <w:rsid w:val="007560EF"/>
    <w:rsid w:val="00757097"/>
    <w:rsid w:val="00762730"/>
    <w:rsid w:val="00764415"/>
    <w:rsid w:val="00764EDE"/>
    <w:rsid w:val="00765ECD"/>
    <w:rsid w:val="0076639D"/>
    <w:rsid w:val="00771D4E"/>
    <w:rsid w:val="00773614"/>
    <w:rsid w:val="00773E63"/>
    <w:rsid w:val="0077455A"/>
    <w:rsid w:val="00775FA1"/>
    <w:rsid w:val="00780693"/>
    <w:rsid w:val="00780720"/>
    <w:rsid w:val="0078087E"/>
    <w:rsid w:val="0078235A"/>
    <w:rsid w:val="007825C1"/>
    <w:rsid w:val="0078385B"/>
    <w:rsid w:val="00783FAF"/>
    <w:rsid w:val="00784EF0"/>
    <w:rsid w:val="00784FF1"/>
    <w:rsid w:val="0078543A"/>
    <w:rsid w:val="00785590"/>
    <w:rsid w:val="00786914"/>
    <w:rsid w:val="00787238"/>
    <w:rsid w:val="007873CF"/>
    <w:rsid w:val="00787D5F"/>
    <w:rsid w:val="007915A6"/>
    <w:rsid w:val="0079201B"/>
    <w:rsid w:val="007921F8"/>
    <w:rsid w:val="00793ABB"/>
    <w:rsid w:val="00794080"/>
    <w:rsid w:val="00794755"/>
    <w:rsid w:val="00794961"/>
    <w:rsid w:val="007964D2"/>
    <w:rsid w:val="00797D4E"/>
    <w:rsid w:val="00797F71"/>
    <w:rsid w:val="007A1F84"/>
    <w:rsid w:val="007A45CD"/>
    <w:rsid w:val="007A5096"/>
    <w:rsid w:val="007A6942"/>
    <w:rsid w:val="007A6F43"/>
    <w:rsid w:val="007B1587"/>
    <w:rsid w:val="007B219C"/>
    <w:rsid w:val="007B2559"/>
    <w:rsid w:val="007B2865"/>
    <w:rsid w:val="007B3690"/>
    <w:rsid w:val="007B469C"/>
    <w:rsid w:val="007B4BA6"/>
    <w:rsid w:val="007B6968"/>
    <w:rsid w:val="007B7007"/>
    <w:rsid w:val="007B730A"/>
    <w:rsid w:val="007B7F5E"/>
    <w:rsid w:val="007C1891"/>
    <w:rsid w:val="007C49CF"/>
    <w:rsid w:val="007C4DAA"/>
    <w:rsid w:val="007C592B"/>
    <w:rsid w:val="007C605F"/>
    <w:rsid w:val="007C6FF5"/>
    <w:rsid w:val="007C7280"/>
    <w:rsid w:val="007C7D1B"/>
    <w:rsid w:val="007D06AA"/>
    <w:rsid w:val="007D0C23"/>
    <w:rsid w:val="007D3FDE"/>
    <w:rsid w:val="007D4923"/>
    <w:rsid w:val="007D568E"/>
    <w:rsid w:val="007E011E"/>
    <w:rsid w:val="007E2DB5"/>
    <w:rsid w:val="007E3CC2"/>
    <w:rsid w:val="007E51C6"/>
    <w:rsid w:val="007E5935"/>
    <w:rsid w:val="007E5D2E"/>
    <w:rsid w:val="007E761A"/>
    <w:rsid w:val="007E7B7F"/>
    <w:rsid w:val="007F0156"/>
    <w:rsid w:val="007F15AB"/>
    <w:rsid w:val="007F60A9"/>
    <w:rsid w:val="008021FB"/>
    <w:rsid w:val="00802CC2"/>
    <w:rsid w:val="00802CF7"/>
    <w:rsid w:val="00804BE8"/>
    <w:rsid w:val="008057A2"/>
    <w:rsid w:val="00807017"/>
    <w:rsid w:val="0081013F"/>
    <w:rsid w:val="00812691"/>
    <w:rsid w:val="00813261"/>
    <w:rsid w:val="0081581D"/>
    <w:rsid w:val="00817333"/>
    <w:rsid w:val="0081761F"/>
    <w:rsid w:val="00817F02"/>
    <w:rsid w:val="00820A13"/>
    <w:rsid w:val="0082116C"/>
    <w:rsid w:val="00821755"/>
    <w:rsid w:val="0082361E"/>
    <w:rsid w:val="0082413C"/>
    <w:rsid w:val="00824464"/>
    <w:rsid w:val="00824C97"/>
    <w:rsid w:val="008250F3"/>
    <w:rsid w:val="00826C16"/>
    <w:rsid w:val="00826D64"/>
    <w:rsid w:val="00827EDF"/>
    <w:rsid w:val="00830C1E"/>
    <w:rsid w:val="00831587"/>
    <w:rsid w:val="00832344"/>
    <w:rsid w:val="00833BD3"/>
    <w:rsid w:val="008348FD"/>
    <w:rsid w:val="008353EC"/>
    <w:rsid w:val="0083586E"/>
    <w:rsid w:val="00835BBD"/>
    <w:rsid w:val="00835FF0"/>
    <w:rsid w:val="008374C0"/>
    <w:rsid w:val="0083779E"/>
    <w:rsid w:val="00840478"/>
    <w:rsid w:val="00840A71"/>
    <w:rsid w:val="00842244"/>
    <w:rsid w:val="00842489"/>
    <w:rsid w:val="00842742"/>
    <w:rsid w:val="008428A9"/>
    <w:rsid w:val="00844828"/>
    <w:rsid w:val="008449A7"/>
    <w:rsid w:val="00844EC1"/>
    <w:rsid w:val="00845529"/>
    <w:rsid w:val="00845EC0"/>
    <w:rsid w:val="00846BE1"/>
    <w:rsid w:val="00850D59"/>
    <w:rsid w:val="00851166"/>
    <w:rsid w:val="008525F3"/>
    <w:rsid w:val="00853E3B"/>
    <w:rsid w:val="008551E2"/>
    <w:rsid w:val="0085565B"/>
    <w:rsid w:val="008563D6"/>
    <w:rsid w:val="00861274"/>
    <w:rsid w:val="00862391"/>
    <w:rsid w:val="00862BE5"/>
    <w:rsid w:val="0086362A"/>
    <w:rsid w:val="00863957"/>
    <w:rsid w:val="00872E96"/>
    <w:rsid w:val="0087382A"/>
    <w:rsid w:val="00874796"/>
    <w:rsid w:val="00874855"/>
    <w:rsid w:val="00875910"/>
    <w:rsid w:val="00875E37"/>
    <w:rsid w:val="008766BC"/>
    <w:rsid w:val="00876804"/>
    <w:rsid w:val="00876B16"/>
    <w:rsid w:val="008770E8"/>
    <w:rsid w:val="00880ABC"/>
    <w:rsid w:val="00880DE2"/>
    <w:rsid w:val="00881A3F"/>
    <w:rsid w:val="008823AD"/>
    <w:rsid w:val="00884F85"/>
    <w:rsid w:val="00887379"/>
    <w:rsid w:val="00890840"/>
    <w:rsid w:val="00891B69"/>
    <w:rsid w:val="00894116"/>
    <w:rsid w:val="00895DA2"/>
    <w:rsid w:val="008A00D4"/>
    <w:rsid w:val="008A07C5"/>
    <w:rsid w:val="008A084D"/>
    <w:rsid w:val="008A560A"/>
    <w:rsid w:val="008A60AA"/>
    <w:rsid w:val="008A6795"/>
    <w:rsid w:val="008B0022"/>
    <w:rsid w:val="008B1DF5"/>
    <w:rsid w:val="008B2E05"/>
    <w:rsid w:val="008B33D6"/>
    <w:rsid w:val="008B36CB"/>
    <w:rsid w:val="008C07F7"/>
    <w:rsid w:val="008C1344"/>
    <w:rsid w:val="008C1B98"/>
    <w:rsid w:val="008C2659"/>
    <w:rsid w:val="008C39BA"/>
    <w:rsid w:val="008C40F1"/>
    <w:rsid w:val="008C45DA"/>
    <w:rsid w:val="008C5C34"/>
    <w:rsid w:val="008C6439"/>
    <w:rsid w:val="008C684C"/>
    <w:rsid w:val="008C6CFE"/>
    <w:rsid w:val="008C6F97"/>
    <w:rsid w:val="008C7581"/>
    <w:rsid w:val="008C789E"/>
    <w:rsid w:val="008C79A2"/>
    <w:rsid w:val="008C7AFF"/>
    <w:rsid w:val="008D08D5"/>
    <w:rsid w:val="008D09E4"/>
    <w:rsid w:val="008D0A5C"/>
    <w:rsid w:val="008D18B3"/>
    <w:rsid w:val="008D27C6"/>
    <w:rsid w:val="008D3251"/>
    <w:rsid w:val="008D3BA1"/>
    <w:rsid w:val="008D4444"/>
    <w:rsid w:val="008D4A6B"/>
    <w:rsid w:val="008D6530"/>
    <w:rsid w:val="008D66CF"/>
    <w:rsid w:val="008E0146"/>
    <w:rsid w:val="008E0AFD"/>
    <w:rsid w:val="008E2983"/>
    <w:rsid w:val="008E2B79"/>
    <w:rsid w:val="008E4972"/>
    <w:rsid w:val="008E4C93"/>
    <w:rsid w:val="008E6F32"/>
    <w:rsid w:val="008E7CAF"/>
    <w:rsid w:val="008F15D3"/>
    <w:rsid w:val="008F269A"/>
    <w:rsid w:val="008F4C87"/>
    <w:rsid w:val="008F5431"/>
    <w:rsid w:val="008F5E9B"/>
    <w:rsid w:val="008F79FF"/>
    <w:rsid w:val="00900CAE"/>
    <w:rsid w:val="00901BB3"/>
    <w:rsid w:val="0090315C"/>
    <w:rsid w:val="009039DB"/>
    <w:rsid w:val="00903A79"/>
    <w:rsid w:val="00903DF8"/>
    <w:rsid w:val="00904174"/>
    <w:rsid w:val="00905612"/>
    <w:rsid w:val="00905853"/>
    <w:rsid w:val="00906F38"/>
    <w:rsid w:val="0091000D"/>
    <w:rsid w:val="009103FB"/>
    <w:rsid w:val="00912D45"/>
    <w:rsid w:val="00915C45"/>
    <w:rsid w:val="00921171"/>
    <w:rsid w:val="00921178"/>
    <w:rsid w:val="00921246"/>
    <w:rsid w:val="00923F22"/>
    <w:rsid w:val="00926155"/>
    <w:rsid w:val="009309FD"/>
    <w:rsid w:val="009311C4"/>
    <w:rsid w:val="00931370"/>
    <w:rsid w:val="009330BA"/>
    <w:rsid w:val="00933DB0"/>
    <w:rsid w:val="00933FCB"/>
    <w:rsid w:val="0093476C"/>
    <w:rsid w:val="00934AF1"/>
    <w:rsid w:val="00935725"/>
    <w:rsid w:val="009408B2"/>
    <w:rsid w:val="00942816"/>
    <w:rsid w:val="009438B2"/>
    <w:rsid w:val="00944FC0"/>
    <w:rsid w:val="009464A3"/>
    <w:rsid w:val="00946C50"/>
    <w:rsid w:val="00947224"/>
    <w:rsid w:val="0094770B"/>
    <w:rsid w:val="00947D5D"/>
    <w:rsid w:val="00951617"/>
    <w:rsid w:val="009516C2"/>
    <w:rsid w:val="00952415"/>
    <w:rsid w:val="00952E53"/>
    <w:rsid w:val="00952F87"/>
    <w:rsid w:val="009532F2"/>
    <w:rsid w:val="00953552"/>
    <w:rsid w:val="00953D32"/>
    <w:rsid w:val="009541B8"/>
    <w:rsid w:val="00954AC6"/>
    <w:rsid w:val="00955897"/>
    <w:rsid w:val="00956BC8"/>
    <w:rsid w:val="009571D7"/>
    <w:rsid w:val="00957622"/>
    <w:rsid w:val="009607BD"/>
    <w:rsid w:val="00961CDA"/>
    <w:rsid w:val="0096204F"/>
    <w:rsid w:val="00962518"/>
    <w:rsid w:val="00964825"/>
    <w:rsid w:val="009663DD"/>
    <w:rsid w:val="00966ADF"/>
    <w:rsid w:val="009671F2"/>
    <w:rsid w:val="00967209"/>
    <w:rsid w:val="0096798D"/>
    <w:rsid w:val="00973F65"/>
    <w:rsid w:val="00974A30"/>
    <w:rsid w:val="00976F57"/>
    <w:rsid w:val="00976FF3"/>
    <w:rsid w:val="009773E5"/>
    <w:rsid w:val="0098029D"/>
    <w:rsid w:val="00980472"/>
    <w:rsid w:val="0098120A"/>
    <w:rsid w:val="00981F82"/>
    <w:rsid w:val="00982FDC"/>
    <w:rsid w:val="009836B6"/>
    <w:rsid w:val="009839D0"/>
    <w:rsid w:val="00985403"/>
    <w:rsid w:val="00985485"/>
    <w:rsid w:val="0098583E"/>
    <w:rsid w:val="0098639C"/>
    <w:rsid w:val="00986D66"/>
    <w:rsid w:val="00987110"/>
    <w:rsid w:val="00987826"/>
    <w:rsid w:val="00992AC1"/>
    <w:rsid w:val="0099418F"/>
    <w:rsid w:val="0099571E"/>
    <w:rsid w:val="009962FD"/>
    <w:rsid w:val="0099715D"/>
    <w:rsid w:val="00997C8A"/>
    <w:rsid w:val="009A164F"/>
    <w:rsid w:val="009A21D4"/>
    <w:rsid w:val="009A26B7"/>
    <w:rsid w:val="009A360F"/>
    <w:rsid w:val="009A41AC"/>
    <w:rsid w:val="009A4392"/>
    <w:rsid w:val="009A4504"/>
    <w:rsid w:val="009A4D87"/>
    <w:rsid w:val="009A59AF"/>
    <w:rsid w:val="009A5B09"/>
    <w:rsid w:val="009A637D"/>
    <w:rsid w:val="009A6741"/>
    <w:rsid w:val="009A795B"/>
    <w:rsid w:val="009A7966"/>
    <w:rsid w:val="009B0D81"/>
    <w:rsid w:val="009B2E5D"/>
    <w:rsid w:val="009B3C5F"/>
    <w:rsid w:val="009B48C9"/>
    <w:rsid w:val="009B67E3"/>
    <w:rsid w:val="009B75F5"/>
    <w:rsid w:val="009C0020"/>
    <w:rsid w:val="009C0B04"/>
    <w:rsid w:val="009C11BA"/>
    <w:rsid w:val="009C1B7D"/>
    <w:rsid w:val="009C447D"/>
    <w:rsid w:val="009C4C8F"/>
    <w:rsid w:val="009C6853"/>
    <w:rsid w:val="009C7260"/>
    <w:rsid w:val="009C73B4"/>
    <w:rsid w:val="009C78F5"/>
    <w:rsid w:val="009D0DE5"/>
    <w:rsid w:val="009D1735"/>
    <w:rsid w:val="009D2C02"/>
    <w:rsid w:val="009D2E0E"/>
    <w:rsid w:val="009D44B9"/>
    <w:rsid w:val="009D6F56"/>
    <w:rsid w:val="009D79D5"/>
    <w:rsid w:val="009E213A"/>
    <w:rsid w:val="009E21D1"/>
    <w:rsid w:val="009E2745"/>
    <w:rsid w:val="009E31FF"/>
    <w:rsid w:val="009E35C7"/>
    <w:rsid w:val="009E446F"/>
    <w:rsid w:val="009E4F60"/>
    <w:rsid w:val="009E624C"/>
    <w:rsid w:val="009F0315"/>
    <w:rsid w:val="009F146E"/>
    <w:rsid w:val="009F1D7A"/>
    <w:rsid w:val="009F2A6D"/>
    <w:rsid w:val="009F3B86"/>
    <w:rsid w:val="009F53A5"/>
    <w:rsid w:val="009F669B"/>
    <w:rsid w:val="009F6F0F"/>
    <w:rsid w:val="00A005B6"/>
    <w:rsid w:val="00A01AD7"/>
    <w:rsid w:val="00A01AEC"/>
    <w:rsid w:val="00A01EA2"/>
    <w:rsid w:val="00A033B0"/>
    <w:rsid w:val="00A041AE"/>
    <w:rsid w:val="00A07AD6"/>
    <w:rsid w:val="00A10E8E"/>
    <w:rsid w:val="00A1138F"/>
    <w:rsid w:val="00A1541B"/>
    <w:rsid w:val="00A15717"/>
    <w:rsid w:val="00A15EBA"/>
    <w:rsid w:val="00A16BD7"/>
    <w:rsid w:val="00A17D64"/>
    <w:rsid w:val="00A209B6"/>
    <w:rsid w:val="00A214E1"/>
    <w:rsid w:val="00A23E0C"/>
    <w:rsid w:val="00A24076"/>
    <w:rsid w:val="00A240A8"/>
    <w:rsid w:val="00A242BC"/>
    <w:rsid w:val="00A2438D"/>
    <w:rsid w:val="00A2459F"/>
    <w:rsid w:val="00A24918"/>
    <w:rsid w:val="00A24993"/>
    <w:rsid w:val="00A25887"/>
    <w:rsid w:val="00A25F6E"/>
    <w:rsid w:val="00A26075"/>
    <w:rsid w:val="00A2623B"/>
    <w:rsid w:val="00A271CB"/>
    <w:rsid w:val="00A30FC1"/>
    <w:rsid w:val="00A315E8"/>
    <w:rsid w:val="00A32A83"/>
    <w:rsid w:val="00A33CDB"/>
    <w:rsid w:val="00A3439F"/>
    <w:rsid w:val="00A350FC"/>
    <w:rsid w:val="00A3588C"/>
    <w:rsid w:val="00A37459"/>
    <w:rsid w:val="00A378CA"/>
    <w:rsid w:val="00A40C96"/>
    <w:rsid w:val="00A41E10"/>
    <w:rsid w:val="00A46038"/>
    <w:rsid w:val="00A4632D"/>
    <w:rsid w:val="00A466C6"/>
    <w:rsid w:val="00A46C7A"/>
    <w:rsid w:val="00A473D0"/>
    <w:rsid w:val="00A50904"/>
    <w:rsid w:val="00A50AEB"/>
    <w:rsid w:val="00A51781"/>
    <w:rsid w:val="00A51B59"/>
    <w:rsid w:val="00A525C9"/>
    <w:rsid w:val="00A526CB"/>
    <w:rsid w:val="00A53A4D"/>
    <w:rsid w:val="00A53B88"/>
    <w:rsid w:val="00A54E11"/>
    <w:rsid w:val="00A55F25"/>
    <w:rsid w:val="00A55FB2"/>
    <w:rsid w:val="00A56354"/>
    <w:rsid w:val="00A571B3"/>
    <w:rsid w:val="00A57E96"/>
    <w:rsid w:val="00A606FB"/>
    <w:rsid w:val="00A60FC8"/>
    <w:rsid w:val="00A64020"/>
    <w:rsid w:val="00A644FC"/>
    <w:rsid w:val="00A64557"/>
    <w:rsid w:val="00A64BD4"/>
    <w:rsid w:val="00A706C3"/>
    <w:rsid w:val="00A70E13"/>
    <w:rsid w:val="00A71A71"/>
    <w:rsid w:val="00A72E4A"/>
    <w:rsid w:val="00A73B50"/>
    <w:rsid w:val="00A7485C"/>
    <w:rsid w:val="00A804B2"/>
    <w:rsid w:val="00A81281"/>
    <w:rsid w:val="00A81D26"/>
    <w:rsid w:val="00A81E41"/>
    <w:rsid w:val="00A832D5"/>
    <w:rsid w:val="00A834DF"/>
    <w:rsid w:val="00A8365B"/>
    <w:rsid w:val="00A846DC"/>
    <w:rsid w:val="00A84EB1"/>
    <w:rsid w:val="00A874F0"/>
    <w:rsid w:val="00A9063E"/>
    <w:rsid w:val="00A912AC"/>
    <w:rsid w:val="00A93288"/>
    <w:rsid w:val="00A9461E"/>
    <w:rsid w:val="00AA0644"/>
    <w:rsid w:val="00AA0C1B"/>
    <w:rsid w:val="00AA30B2"/>
    <w:rsid w:val="00AA516F"/>
    <w:rsid w:val="00AA5293"/>
    <w:rsid w:val="00AA7446"/>
    <w:rsid w:val="00AA7766"/>
    <w:rsid w:val="00AB08F8"/>
    <w:rsid w:val="00AB2CE0"/>
    <w:rsid w:val="00AB3562"/>
    <w:rsid w:val="00AB4EDF"/>
    <w:rsid w:val="00AB5B12"/>
    <w:rsid w:val="00AB62AB"/>
    <w:rsid w:val="00AB6F85"/>
    <w:rsid w:val="00AB7B62"/>
    <w:rsid w:val="00AB7DFA"/>
    <w:rsid w:val="00AC0BB5"/>
    <w:rsid w:val="00AC0FD1"/>
    <w:rsid w:val="00AC14AC"/>
    <w:rsid w:val="00AC1BD4"/>
    <w:rsid w:val="00AC274D"/>
    <w:rsid w:val="00AC27DA"/>
    <w:rsid w:val="00AC2E2E"/>
    <w:rsid w:val="00AC5685"/>
    <w:rsid w:val="00AC5E79"/>
    <w:rsid w:val="00AC6763"/>
    <w:rsid w:val="00AC6BDD"/>
    <w:rsid w:val="00AC6C8B"/>
    <w:rsid w:val="00AC6F24"/>
    <w:rsid w:val="00AD2F87"/>
    <w:rsid w:val="00AD33C4"/>
    <w:rsid w:val="00AD3B13"/>
    <w:rsid w:val="00AD50B2"/>
    <w:rsid w:val="00AD7956"/>
    <w:rsid w:val="00AD7E31"/>
    <w:rsid w:val="00AE00E7"/>
    <w:rsid w:val="00AE025D"/>
    <w:rsid w:val="00AE0A17"/>
    <w:rsid w:val="00AE1049"/>
    <w:rsid w:val="00AE201D"/>
    <w:rsid w:val="00AE4BF0"/>
    <w:rsid w:val="00AE4D27"/>
    <w:rsid w:val="00AE4D7B"/>
    <w:rsid w:val="00AE56C2"/>
    <w:rsid w:val="00AE5AE2"/>
    <w:rsid w:val="00AE5E35"/>
    <w:rsid w:val="00AE6642"/>
    <w:rsid w:val="00AE6C20"/>
    <w:rsid w:val="00AE72AE"/>
    <w:rsid w:val="00AE75B4"/>
    <w:rsid w:val="00AE79E8"/>
    <w:rsid w:val="00AE7DB6"/>
    <w:rsid w:val="00AF07F9"/>
    <w:rsid w:val="00AF1EB2"/>
    <w:rsid w:val="00AF2A63"/>
    <w:rsid w:val="00AF33BE"/>
    <w:rsid w:val="00AF3818"/>
    <w:rsid w:val="00AF3C30"/>
    <w:rsid w:val="00AF4FDA"/>
    <w:rsid w:val="00AF56D5"/>
    <w:rsid w:val="00AF5D95"/>
    <w:rsid w:val="00AF6873"/>
    <w:rsid w:val="00AF75A0"/>
    <w:rsid w:val="00AF7AC7"/>
    <w:rsid w:val="00B02176"/>
    <w:rsid w:val="00B02F87"/>
    <w:rsid w:val="00B032CA"/>
    <w:rsid w:val="00B03AEF"/>
    <w:rsid w:val="00B06B7F"/>
    <w:rsid w:val="00B10FCB"/>
    <w:rsid w:val="00B11A8A"/>
    <w:rsid w:val="00B13572"/>
    <w:rsid w:val="00B13884"/>
    <w:rsid w:val="00B14122"/>
    <w:rsid w:val="00B14638"/>
    <w:rsid w:val="00B1607E"/>
    <w:rsid w:val="00B162B6"/>
    <w:rsid w:val="00B16B6E"/>
    <w:rsid w:val="00B17EF9"/>
    <w:rsid w:val="00B20275"/>
    <w:rsid w:val="00B20CB2"/>
    <w:rsid w:val="00B21624"/>
    <w:rsid w:val="00B22759"/>
    <w:rsid w:val="00B227BF"/>
    <w:rsid w:val="00B2394E"/>
    <w:rsid w:val="00B24328"/>
    <w:rsid w:val="00B2445F"/>
    <w:rsid w:val="00B24564"/>
    <w:rsid w:val="00B261DD"/>
    <w:rsid w:val="00B2691D"/>
    <w:rsid w:val="00B27099"/>
    <w:rsid w:val="00B27F1A"/>
    <w:rsid w:val="00B301DB"/>
    <w:rsid w:val="00B30644"/>
    <w:rsid w:val="00B32867"/>
    <w:rsid w:val="00B32FF4"/>
    <w:rsid w:val="00B34E1D"/>
    <w:rsid w:val="00B37192"/>
    <w:rsid w:val="00B37994"/>
    <w:rsid w:val="00B40DD5"/>
    <w:rsid w:val="00B4154A"/>
    <w:rsid w:val="00B41D0E"/>
    <w:rsid w:val="00B425E2"/>
    <w:rsid w:val="00B42AF3"/>
    <w:rsid w:val="00B42D67"/>
    <w:rsid w:val="00B467F4"/>
    <w:rsid w:val="00B46C27"/>
    <w:rsid w:val="00B47100"/>
    <w:rsid w:val="00B5031A"/>
    <w:rsid w:val="00B51316"/>
    <w:rsid w:val="00B51AF1"/>
    <w:rsid w:val="00B52C75"/>
    <w:rsid w:val="00B55A25"/>
    <w:rsid w:val="00B561E8"/>
    <w:rsid w:val="00B604DF"/>
    <w:rsid w:val="00B6065D"/>
    <w:rsid w:val="00B60CA6"/>
    <w:rsid w:val="00B61604"/>
    <w:rsid w:val="00B61F69"/>
    <w:rsid w:val="00B63ABE"/>
    <w:rsid w:val="00B63BFB"/>
    <w:rsid w:val="00B64082"/>
    <w:rsid w:val="00B655A0"/>
    <w:rsid w:val="00B661F8"/>
    <w:rsid w:val="00B662FE"/>
    <w:rsid w:val="00B6636F"/>
    <w:rsid w:val="00B67FFA"/>
    <w:rsid w:val="00B70998"/>
    <w:rsid w:val="00B714FB"/>
    <w:rsid w:val="00B74C20"/>
    <w:rsid w:val="00B75838"/>
    <w:rsid w:val="00B76864"/>
    <w:rsid w:val="00B8080B"/>
    <w:rsid w:val="00B80CCC"/>
    <w:rsid w:val="00B813DE"/>
    <w:rsid w:val="00B82440"/>
    <w:rsid w:val="00B82689"/>
    <w:rsid w:val="00B82E28"/>
    <w:rsid w:val="00B82F49"/>
    <w:rsid w:val="00B835EB"/>
    <w:rsid w:val="00B8660A"/>
    <w:rsid w:val="00B86934"/>
    <w:rsid w:val="00B86A4D"/>
    <w:rsid w:val="00B906FB"/>
    <w:rsid w:val="00B9079A"/>
    <w:rsid w:val="00B90C03"/>
    <w:rsid w:val="00B91593"/>
    <w:rsid w:val="00B939A9"/>
    <w:rsid w:val="00B93EF9"/>
    <w:rsid w:val="00B94583"/>
    <w:rsid w:val="00B94D07"/>
    <w:rsid w:val="00B951A3"/>
    <w:rsid w:val="00B96B60"/>
    <w:rsid w:val="00BA0641"/>
    <w:rsid w:val="00BA100B"/>
    <w:rsid w:val="00BA3073"/>
    <w:rsid w:val="00BA49A3"/>
    <w:rsid w:val="00BA4E75"/>
    <w:rsid w:val="00BA5CED"/>
    <w:rsid w:val="00BA7D37"/>
    <w:rsid w:val="00BB1CD6"/>
    <w:rsid w:val="00BB21C5"/>
    <w:rsid w:val="00BB231D"/>
    <w:rsid w:val="00BB2C57"/>
    <w:rsid w:val="00BB2C92"/>
    <w:rsid w:val="00BB3921"/>
    <w:rsid w:val="00BB3FF5"/>
    <w:rsid w:val="00BB4343"/>
    <w:rsid w:val="00BB78F9"/>
    <w:rsid w:val="00BC0E7C"/>
    <w:rsid w:val="00BC218F"/>
    <w:rsid w:val="00BC2EAB"/>
    <w:rsid w:val="00BC317A"/>
    <w:rsid w:val="00BC3BC9"/>
    <w:rsid w:val="00BC3DCB"/>
    <w:rsid w:val="00BC5144"/>
    <w:rsid w:val="00BC5EA7"/>
    <w:rsid w:val="00BD05DD"/>
    <w:rsid w:val="00BD5267"/>
    <w:rsid w:val="00BD580A"/>
    <w:rsid w:val="00BD6714"/>
    <w:rsid w:val="00BD6770"/>
    <w:rsid w:val="00BE5049"/>
    <w:rsid w:val="00BE6068"/>
    <w:rsid w:val="00BE65CD"/>
    <w:rsid w:val="00BE6909"/>
    <w:rsid w:val="00BE6C4B"/>
    <w:rsid w:val="00BE7C5B"/>
    <w:rsid w:val="00BF0656"/>
    <w:rsid w:val="00BF1ED0"/>
    <w:rsid w:val="00BF2464"/>
    <w:rsid w:val="00BF4991"/>
    <w:rsid w:val="00BF4F7A"/>
    <w:rsid w:val="00BF58ED"/>
    <w:rsid w:val="00BF618A"/>
    <w:rsid w:val="00BF6329"/>
    <w:rsid w:val="00BF6F84"/>
    <w:rsid w:val="00BF77B0"/>
    <w:rsid w:val="00BF79D3"/>
    <w:rsid w:val="00C0258A"/>
    <w:rsid w:val="00C0336D"/>
    <w:rsid w:val="00C036D7"/>
    <w:rsid w:val="00C038F1"/>
    <w:rsid w:val="00C03B1E"/>
    <w:rsid w:val="00C06DFD"/>
    <w:rsid w:val="00C070BC"/>
    <w:rsid w:val="00C111F3"/>
    <w:rsid w:val="00C14ED7"/>
    <w:rsid w:val="00C15691"/>
    <w:rsid w:val="00C15BCB"/>
    <w:rsid w:val="00C164B1"/>
    <w:rsid w:val="00C167CA"/>
    <w:rsid w:val="00C16C9B"/>
    <w:rsid w:val="00C205A5"/>
    <w:rsid w:val="00C23772"/>
    <w:rsid w:val="00C24570"/>
    <w:rsid w:val="00C25869"/>
    <w:rsid w:val="00C260AE"/>
    <w:rsid w:val="00C262B0"/>
    <w:rsid w:val="00C26533"/>
    <w:rsid w:val="00C306C4"/>
    <w:rsid w:val="00C30C5F"/>
    <w:rsid w:val="00C33837"/>
    <w:rsid w:val="00C34E7B"/>
    <w:rsid w:val="00C36A8C"/>
    <w:rsid w:val="00C40A4E"/>
    <w:rsid w:val="00C43953"/>
    <w:rsid w:val="00C445F9"/>
    <w:rsid w:val="00C446CC"/>
    <w:rsid w:val="00C44D8A"/>
    <w:rsid w:val="00C44DEA"/>
    <w:rsid w:val="00C44E0E"/>
    <w:rsid w:val="00C45143"/>
    <w:rsid w:val="00C46D3F"/>
    <w:rsid w:val="00C500A1"/>
    <w:rsid w:val="00C5055E"/>
    <w:rsid w:val="00C50920"/>
    <w:rsid w:val="00C50ACE"/>
    <w:rsid w:val="00C519E5"/>
    <w:rsid w:val="00C52221"/>
    <w:rsid w:val="00C52590"/>
    <w:rsid w:val="00C53EF0"/>
    <w:rsid w:val="00C54883"/>
    <w:rsid w:val="00C55734"/>
    <w:rsid w:val="00C557AB"/>
    <w:rsid w:val="00C558BD"/>
    <w:rsid w:val="00C56584"/>
    <w:rsid w:val="00C567E1"/>
    <w:rsid w:val="00C571DA"/>
    <w:rsid w:val="00C575E1"/>
    <w:rsid w:val="00C57913"/>
    <w:rsid w:val="00C57C73"/>
    <w:rsid w:val="00C57DF5"/>
    <w:rsid w:val="00C609B1"/>
    <w:rsid w:val="00C613D2"/>
    <w:rsid w:val="00C613E8"/>
    <w:rsid w:val="00C62711"/>
    <w:rsid w:val="00C62B56"/>
    <w:rsid w:val="00C62EED"/>
    <w:rsid w:val="00C6492F"/>
    <w:rsid w:val="00C65103"/>
    <w:rsid w:val="00C6568D"/>
    <w:rsid w:val="00C66110"/>
    <w:rsid w:val="00C66F9D"/>
    <w:rsid w:val="00C67F1E"/>
    <w:rsid w:val="00C71363"/>
    <w:rsid w:val="00C71A63"/>
    <w:rsid w:val="00C731DA"/>
    <w:rsid w:val="00C73D52"/>
    <w:rsid w:val="00C743A1"/>
    <w:rsid w:val="00C7562E"/>
    <w:rsid w:val="00C76CB1"/>
    <w:rsid w:val="00C776B1"/>
    <w:rsid w:val="00C813B4"/>
    <w:rsid w:val="00C81EBE"/>
    <w:rsid w:val="00C8228A"/>
    <w:rsid w:val="00C823B8"/>
    <w:rsid w:val="00C84A38"/>
    <w:rsid w:val="00C87A86"/>
    <w:rsid w:val="00C904C2"/>
    <w:rsid w:val="00C91745"/>
    <w:rsid w:val="00C91AA2"/>
    <w:rsid w:val="00C956FA"/>
    <w:rsid w:val="00C96B9D"/>
    <w:rsid w:val="00CA0844"/>
    <w:rsid w:val="00CA0A27"/>
    <w:rsid w:val="00CA11BE"/>
    <w:rsid w:val="00CA1D46"/>
    <w:rsid w:val="00CB10BF"/>
    <w:rsid w:val="00CB25C7"/>
    <w:rsid w:val="00CB3056"/>
    <w:rsid w:val="00CB3E6D"/>
    <w:rsid w:val="00CB4672"/>
    <w:rsid w:val="00CB5CCA"/>
    <w:rsid w:val="00CB7255"/>
    <w:rsid w:val="00CB7905"/>
    <w:rsid w:val="00CB7C7B"/>
    <w:rsid w:val="00CB7D57"/>
    <w:rsid w:val="00CB7F33"/>
    <w:rsid w:val="00CC0A1C"/>
    <w:rsid w:val="00CC0AAF"/>
    <w:rsid w:val="00CC15DE"/>
    <w:rsid w:val="00CC17ED"/>
    <w:rsid w:val="00CC224C"/>
    <w:rsid w:val="00CC38B4"/>
    <w:rsid w:val="00CC504C"/>
    <w:rsid w:val="00CC61B4"/>
    <w:rsid w:val="00CC76FC"/>
    <w:rsid w:val="00CD0D1C"/>
    <w:rsid w:val="00CD1764"/>
    <w:rsid w:val="00CD2A1E"/>
    <w:rsid w:val="00CD5157"/>
    <w:rsid w:val="00CD6472"/>
    <w:rsid w:val="00CD69E8"/>
    <w:rsid w:val="00CD741E"/>
    <w:rsid w:val="00CE01B9"/>
    <w:rsid w:val="00CE2A46"/>
    <w:rsid w:val="00CE3953"/>
    <w:rsid w:val="00CE458C"/>
    <w:rsid w:val="00CE51BE"/>
    <w:rsid w:val="00CE6328"/>
    <w:rsid w:val="00CE7B86"/>
    <w:rsid w:val="00CF0AB3"/>
    <w:rsid w:val="00CF151D"/>
    <w:rsid w:val="00CF1805"/>
    <w:rsid w:val="00CF1828"/>
    <w:rsid w:val="00CF2330"/>
    <w:rsid w:val="00CF2930"/>
    <w:rsid w:val="00CF29B5"/>
    <w:rsid w:val="00CF462B"/>
    <w:rsid w:val="00CF600A"/>
    <w:rsid w:val="00CF6371"/>
    <w:rsid w:val="00CF63A0"/>
    <w:rsid w:val="00CF6997"/>
    <w:rsid w:val="00CF6F23"/>
    <w:rsid w:val="00D001E4"/>
    <w:rsid w:val="00D006DC"/>
    <w:rsid w:val="00D0130C"/>
    <w:rsid w:val="00D01DDE"/>
    <w:rsid w:val="00D025D0"/>
    <w:rsid w:val="00D031C9"/>
    <w:rsid w:val="00D043B3"/>
    <w:rsid w:val="00D04DFD"/>
    <w:rsid w:val="00D0600F"/>
    <w:rsid w:val="00D0713E"/>
    <w:rsid w:val="00D07140"/>
    <w:rsid w:val="00D137A0"/>
    <w:rsid w:val="00D13EB3"/>
    <w:rsid w:val="00D1569A"/>
    <w:rsid w:val="00D16E5F"/>
    <w:rsid w:val="00D16FBE"/>
    <w:rsid w:val="00D17754"/>
    <w:rsid w:val="00D177A8"/>
    <w:rsid w:val="00D20DDF"/>
    <w:rsid w:val="00D21C53"/>
    <w:rsid w:val="00D2285E"/>
    <w:rsid w:val="00D22DF2"/>
    <w:rsid w:val="00D232CC"/>
    <w:rsid w:val="00D23E78"/>
    <w:rsid w:val="00D245DB"/>
    <w:rsid w:val="00D26566"/>
    <w:rsid w:val="00D30776"/>
    <w:rsid w:val="00D32041"/>
    <w:rsid w:val="00D320EE"/>
    <w:rsid w:val="00D32188"/>
    <w:rsid w:val="00D32C40"/>
    <w:rsid w:val="00D348C6"/>
    <w:rsid w:val="00D361DF"/>
    <w:rsid w:val="00D36D43"/>
    <w:rsid w:val="00D41797"/>
    <w:rsid w:val="00D41C23"/>
    <w:rsid w:val="00D42072"/>
    <w:rsid w:val="00D42275"/>
    <w:rsid w:val="00D42EBC"/>
    <w:rsid w:val="00D4368C"/>
    <w:rsid w:val="00D43DB1"/>
    <w:rsid w:val="00D44D23"/>
    <w:rsid w:val="00D45093"/>
    <w:rsid w:val="00D46BFE"/>
    <w:rsid w:val="00D47A3E"/>
    <w:rsid w:val="00D50F5D"/>
    <w:rsid w:val="00D5321F"/>
    <w:rsid w:val="00D54879"/>
    <w:rsid w:val="00D54905"/>
    <w:rsid w:val="00D55A61"/>
    <w:rsid w:val="00D55D2A"/>
    <w:rsid w:val="00D5735E"/>
    <w:rsid w:val="00D57C93"/>
    <w:rsid w:val="00D6678A"/>
    <w:rsid w:val="00D66945"/>
    <w:rsid w:val="00D67493"/>
    <w:rsid w:val="00D67886"/>
    <w:rsid w:val="00D700D6"/>
    <w:rsid w:val="00D703A1"/>
    <w:rsid w:val="00D705F4"/>
    <w:rsid w:val="00D713E1"/>
    <w:rsid w:val="00D73885"/>
    <w:rsid w:val="00D745ED"/>
    <w:rsid w:val="00D76C0C"/>
    <w:rsid w:val="00D77447"/>
    <w:rsid w:val="00D80247"/>
    <w:rsid w:val="00D80594"/>
    <w:rsid w:val="00D80B1D"/>
    <w:rsid w:val="00D824EC"/>
    <w:rsid w:val="00D82B0B"/>
    <w:rsid w:val="00D82B9B"/>
    <w:rsid w:val="00D83554"/>
    <w:rsid w:val="00D845AE"/>
    <w:rsid w:val="00D85370"/>
    <w:rsid w:val="00D85B66"/>
    <w:rsid w:val="00D85BE3"/>
    <w:rsid w:val="00D86678"/>
    <w:rsid w:val="00D8747D"/>
    <w:rsid w:val="00D91F3C"/>
    <w:rsid w:val="00D92E55"/>
    <w:rsid w:val="00D93ACA"/>
    <w:rsid w:val="00D9472F"/>
    <w:rsid w:val="00D95CB7"/>
    <w:rsid w:val="00DA06E9"/>
    <w:rsid w:val="00DA2462"/>
    <w:rsid w:val="00DA30A6"/>
    <w:rsid w:val="00DA478A"/>
    <w:rsid w:val="00DA4E5A"/>
    <w:rsid w:val="00DA569F"/>
    <w:rsid w:val="00DA62A9"/>
    <w:rsid w:val="00DB1827"/>
    <w:rsid w:val="00DB2E0C"/>
    <w:rsid w:val="00DB2F13"/>
    <w:rsid w:val="00DB5070"/>
    <w:rsid w:val="00DB50E9"/>
    <w:rsid w:val="00DB6DCD"/>
    <w:rsid w:val="00DB72F3"/>
    <w:rsid w:val="00DB73AD"/>
    <w:rsid w:val="00DB73BC"/>
    <w:rsid w:val="00DB78AB"/>
    <w:rsid w:val="00DC0F5F"/>
    <w:rsid w:val="00DC1767"/>
    <w:rsid w:val="00DC2FDB"/>
    <w:rsid w:val="00DC4532"/>
    <w:rsid w:val="00DC4D9D"/>
    <w:rsid w:val="00DC5867"/>
    <w:rsid w:val="00DC686D"/>
    <w:rsid w:val="00DC6CBA"/>
    <w:rsid w:val="00DC77A9"/>
    <w:rsid w:val="00DD0DF3"/>
    <w:rsid w:val="00DD372E"/>
    <w:rsid w:val="00DD377F"/>
    <w:rsid w:val="00DD3C7E"/>
    <w:rsid w:val="00DD7556"/>
    <w:rsid w:val="00DE0265"/>
    <w:rsid w:val="00DE0C37"/>
    <w:rsid w:val="00DE1480"/>
    <w:rsid w:val="00DE17C9"/>
    <w:rsid w:val="00DE44D6"/>
    <w:rsid w:val="00DE52E3"/>
    <w:rsid w:val="00DF07FE"/>
    <w:rsid w:val="00DF0A06"/>
    <w:rsid w:val="00DF0BFD"/>
    <w:rsid w:val="00DF11EB"/>
    <w:rsid w:val="00DF17E2"/>
    <w:rsid w:val="00DF3724"/>
    <w:rsid w:val="00DF3E67"/>
    <w:rsid w:val="00DF5236"/>
    <w:rsid w:val="00DF5A06"/>
    <w:rsid w:val="00DF7197"/>
    <w:rsid w:val="00E015D2"/>
    <w:rsid w:val="00E01FD2"/>
    <w:rsid w:val="00E035FB"/>
    <w:rsid w:val="00E03E85"/>
    <w:rsid w:val="00E049C7"/>
    <w:rsid w:val="00E0739D"/>
    <w:rsid w:val="00E11878"/>
    <w:rsid w:val="00E12D9D"/>
    <w:rsid w:val="00E13486"/>
    <w:rsid w:val="00E1605A"/>
    <w:rsid w:val="00E21144"/>
    <w:rsid w:val="00E213D6"/>
    <w:rsid w:val="00E21EC0"/>
    <w:rsid w:val="00E2237A"/>
    <w:rsid w:val="00E228A0"/>
    <w:rsid w:val="00E247DA"/>
    <w:rsid w:val="00E24D9C"/>
    <w:rsid w:val="00E27605"/>
    <w:rsid w:val="00E3151E"/>
    <w:rsid w:val="00E32447"/>
    <w:rsid w:val="00E33BFC"/>
    <w:rsid w:val="00E355AA"/>
    <w:rsid w:val="00E35A36"/>
    <w:rsid w:val="00E37299"/>
    <w:rsid w:val="00E410A0"/>
    <w:rsid w:val="00E427D7"/>
    <w:rsid w:val="00E42C49"/>
    <w:rsid w:val="00E435B3"/>
    <w:rsid w:val="00E43B55"/>
    <w:rsid w:val="00E44F0F"/>
    <w:rsid w:val="00E4692E"/>
    <w:rsid w:val="00E46F86"/>
    <w:rsid w:val="00E471D6"/>
    <w:rsid w:val="00E476F4"/>
    <w:rsid w:val="00E50620"/>
    <w:rsid w:val="00E54B43"/>
    <w:rsid w:val="00E56D10"/>
    <w:rsid w:val="00E57FBB"/>
    <w:rsid w:val="00E60A6C"/>
    <w:rsid w:val="00E60CAB"/>
    <w:rsid w:val="00E617C9"/>
    <w:rsid w:val="00E64092"/>
    <w:rsid w:val="00E642DF"/>
    <w:rsid w:val="00E65268"/>
    <w:rsid w:val="00E65B6A"/>
    <w:rsid w:val="00E6680E"/>
    <w:rsid w:val="00E670E0"/>
    <w:rsid w:val="00E67373"/>
    <w:rsid w:val="00E724A4"/>
    <w:rsid w:val="00E72A27"/>
    <w:rsid w:val="00E72F38"/>
    <w:rsid w:val="00E7335B"/>
    <w:rsid w:val="00E74CEE"/>
    <w:rsid w:val="00E81FB8"/>
    <w:rsid w:val="00E8312E"/>
    <w:rsid w:val="00E83815"/>
    <w:rsid w:val="00E8400E"/>
    <w:rsid w:val="00E841AC"/>
    <w:rsid w:val="00E84D0E"/>
    <w:rsid w:val="00E84EE1"/>
    <w:rsid w:val="00E856E8"/>
    <w:rsid w:val="00E87060"/>
    <w:rsid w:val="00E873CE"/>
    <w:rsid w:val="00E918D5"/>
    <w:rsid w:val="00E92A5A"/>
    <w:rsid w:val="00E93618"/>
    <w:rsid w:val="00E939FF"/>
    <w:rsid w:val="00E948AC"/>
    <w:rsid w:val="00E97328"/>
    <w:rsid w:val="00E974C4"/>
    <w:rsid w:val="00EA0218"/>
    <w:rsid w:val="00EA063A"/>
    <w:rsid w:val="00EA0731"/>
    <w:rsid w:val="00EA238E"/>
    <w:rsid w:val="00EA4110"/>
    <w:rsid w:val="00EA4A24"/>
    <w:rsid w:val="00EA6B9C"/>
    <w:rsid w:val="00EB1D04"/>
    <w:rsid w:val="00EB1DCF"/>
    <w:rsid w:val="00EB25DD"/>
    <w:rsid w:val="00EB301E"/>
    <w:rsid w:val="00EB77F9"/>
    <w:rsid w:val="00EB7CED"/>
    <w:rsid w:val="00EC013C"/>
    <w:rsid w:val="00EC0572"/>
    <w:rsid w:val="00EC1E11"/>
    <w:rsid w:val="00EC29C2"/>
    <w:rsid w:val="00EC402A"/>
    <w:rsid w:val="00EC42C8"/>
    <w:rsid w:val="00EC47D5"/>
    <w:rsid w:val="00EC592E"/>
    <w:rsid w:val="00EC7572"/>
    <w:rsid w:val="00ED1058"/>
    <w:rsid w:val="00ED1169"/>
    <w:rsid w:val="00ED1632"/>
    <w:rsid w:val="00ED1FEF"/>
    <w:rsid w:val="00ED32FA"/>
    <w:rsid w:val="00ED415E"/>
    <w:rsid w:val="00ED5368"/>
    <w:rsid w:val="00ED5928"/>
    <w:rsid w:val="00ED628D"/>
    <w:rsid w:val="00ED6A9D"/>
    <w:rsid w:val="00ED6C32"/>
    <w:rsid w:val="00ED6DCA"/>
    <w:rsid w:val="00ED7B41"/>
    <w:rsid w:val="00EE031F"/>
    <w:rsid w:val="00EE05F8"/>
    <w:rsid w:val="00EE0762"/>
    <w:rsid w:val="00EE3EA4"/>
    <w:rsid w:val="00EE549C"/>
    <w:rsid w:val="00EE5C91"/>
    <w:rsid w:val="00EE6553"/>
    <w:rsid w:val="00EE763C"/>
    <w:rsid w:val="00EF0F88"/>
    <w:rsid w:val="00EF1153"/>
    <w:rsid w:val="00EF16AF"/>
    <w:rsid w:val="00EF1968"/>
    <w:rsid w:val="00EF1E58"/>
    <w:rsid w:val="00EF3525"/>
    <w:rsid w:val="00EF39A9"/>
    <w:rsid w:val="00EF3F93"/>
    <w:rsid w:val="00EF44FD"/>
    <w:rsid w:val="00EF4CE9"/>
    <w:rsid w:val="00EF52C0"/>
    <w:rsid w:val="00EF58F7"/>
    <w:rsid w:val="00EF7DC6"/>
    <w:rsid w:val="00F00273"/>
    <w:rsid w:val="00F0036A"/>
    <w:rsid w:val="00F00CD0"/>
    <w:rsid w:val="00F015F5"/>
    <w:rsid w:val="00F01609"/>
    <w:rsid w:val="00F0371E"/>
    <w:rsid w:val="00F046EB"/>
    <w:rsid w:val="00F0470B"/>
    <w:rsid w:val="00F0475B"/>
    <w:rsid w:val="00F0488E"/>
    <w:rsid w:val="00F050C9"/>
    <w:rsid w:val="00F06120"/>
    <w:rsid w:val="00F07595"/>
    <w:rsid w:val="00F07C59"/>
    <w:rsid w:val="00F10C9F"/>
    <w:rsid w:val="00F10D78"/>
    <w:rsid w:val="00F13561"/>
    <w:rsid w:val="00F154F6"/>
    <w:rsid w:val="00F16645"/>
    <w:rsid w:val="00F179A8"/>
    <w:rsid w:val="00F20DB9"/>
    <w:rsid w:val="00F20E3B"/>
    <w:rsid w:val="00F2146C"/>
    <w:rsid w:val="00F224DE"/>
    <w:rsid w:val="00F24727"/>
    <w:rsid w:val="00F27C10"/>
    <w:rsid w:val="00F307D0"/>
    <w:rsid w:val="00F31607"/>
    <w:rsid w:val="00F323D4"/>
    <w:rsid w:val="00F32574"/>
    <w:rsid w:val="00F33411"/>
    <w:rsid w:val="00F33D98"/>
    <w:rsid w:val="00F347E1"/>
    <w:rsid w:val="00F35485"/>
    <w:rsid w:val="00F354D6"/>
    <w:rsid w:val="00F371DB"/>
    <w:rsid w:val="00F40FA0"/>
    <w:rsid w:val="00F414B4"/>
    <w:rsid w:val="00F45456"/>
    <w:rsid w:val="00F465E8"/>
    <w:rsid w:val="00F53926"/>
    <w:rsid w:val="00F53942"/>
    <w:rsid w:val="00F53EBE"/>
    <w:rsid w:val="00F54E35"/>
    <w:rsid w:val="00F54FBE"/>
    <w:rsid w:val="00F56209"/>
    <w:rsid w:val="00F602EF"/>
    <w:rsid w:val="00F6230E"/>
    <w:rsid w:val="00F62350"/>
    <w:rsid w:val="00F630EC"/>
    <w:rsid w:val="00F634D1"/>
    <w:rsid w:val="00F635F3"/>
    <w:rsid w:val="00F649F1"/>
    <w:rsid w:val="00F64E11"/>
    <w:rsid w:val="00F6596D"/>
    <w:rsid w:val="00F720A6"/>
    <w:rsid w:val="00F722A7"/>
    <w:rsid w:val="00F7265E"/>
    <w:rsid w:val="00F7398B"/>
    <w:rsid w:val="00F74706"/>
    <w:rsid w:val="00F74BB6"/>
    <w:rsid w:val="00F75704"/>
    <w:rsid w:val="00F80605"/>
    <w:rsid w:val="00F807B6"/>
    <w:rsid w:val="00F81028"/>
    <w:rsid w:val="00F824A6"/>
    <w:rsid w:val="00F8285C"/>
    <w:rsid w:val="00F849E9"/>
    <w:rsid w:val="00F8722F"/>
    <w:rsid w:val="00F875E3"/>
    <w:rsid w:val="00F87DEC"/>
    <w:rsid w:val="00F91407"/>
    <w:rsid w:val="00F915A5"/>
    <w:rsid w:val="00F927C9"/>
    <w:rsid w:val="00F95827"/>
    <w:rsid w:val="00FA1C57"/>
    <w:rsid w:val="00FA2CA2"/>
    <w:rsid w:val="00FA2D5D"/>
    <w:rsid w:val="00FA4A63"/>
    <w:rsid w:val="00FA5039"/>
    <w:rsid w:val="00FA55FB"/>
    <w:rsid w:val="00FB124B"/>
    <w:rsid w:val="00FB217A"/>
    <w:rsid w:val="00FB5DA4"/>
    <w:rsid w:val="00FB6455"/>
    <w:rsid w:val="00FB71E0"/>
    <w:rsid w:val="00FB736E"/>
    <w:rsid w:val="00FC0E6D"/>
    <w:rsid w:val="00FC28C3"/>
    <w:rsid w:val="00FC2F55"/>
    <w:rsid w:val="00FC44D8"/>
    <w:rsid w:val="00FC454C"/>
    <w:rsid w:val="00FC490B"/>
    <w:rsid w:val="00FC7C76"/>
    <w:rsid w:val="00FD0D4D"/>
    <w:rsid w:val="00FD1290"/>
    <w:rsid w:val="00FD25C6"/>
    <w:rsid w:val="00FD2752"/>
    <w:rsid w:val="00FD4A63"/>
    <w:rsid w:val="00FD4BD4"/>
    <w:rsid w:val="00FD6413"/>
    <w:rsid w:val="00FE112F"/>
    <w:rsid w:val="00FE169D"/>
    <w:rsid w:val="00FE1BE6"/>
    <w:rsid w:val="00FE2328"/>
    <w:rsid w:val="00FE43DB"/>
    <w:rsid w:val="00FE4DB1"/>
    <w:rsid w:val="00FE5623"/>
    <w:rsid w:val="00FF1421"/>
    <w:rsid w:val="00FF1A4B"/>
    <w:rsid w:val="00FF3329"/>
    <w:rsid w:val="00FF4865"/>
    <w:rsid w:val="00FF6C22"/>
    <w:rsid w:val="00FF6E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B60DBB"/>
  <w15:docId w15:val="{93A7A724-79DB-45E0-B16B-2B9150B0C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BNA Portfolio Normal"/>
    <w:qFormat/>
    <w:rsid w:val="00ED32FA"/>
    <w:pPr>
      <w:spacing w:after="120" w:line="312" w:lineRule="auto"/>
    </w:pPr>
    <w:rPr>
      <w:rFonts w:ascii="Calibri" w:hAnsi="Calibri"/>
    </w:rPr>
  </w:style>
  <w:style w:type="paragraph" w:styleId="berschrift1">
    <w:name w:val="heading 1"/>
    <w:basedOn w:val="Standard"/>
    <w:next w:val="Standard"/>
    <w:link w:val="berschrift1Zchn"/>
    <w:uiPriority w:val="9"/>
    <w:qFormat/>
    <w:rsid w:val="004B3D32"/>
    <w:pPr>
      <w:keepNext/>
      <w:keepLines/>
      <w:numPr>
        <w:numId w:val="1"/>
      </w:numPr>
      <w:spacing w:before="120" w:after="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4B3D32"/>
    <w:pPr>
      <w:keepNext/>
      <w:keepLines/>
      <w:numPr>
        <w:numId w:val="5"/>
      </w:numPr>
      <w:spacing w:before="120" w:after="0"/>
      <w:outlineLvl w:val="1"/>
    </w:pPr>
    <w:rPr>
      <w:rFonts w:eastAsiaTheme="majorEastAsia" w:cstheme="majorBidi"/>
      <w:b/>
      <w:bCs/>
      <w:sz w:val="26"/>
      <w:szCs w:val="26"/>
      <w:lang w:val="en-US"/>
    </w:rPr>
  </w:style>
  <w:style w:type="paragraph" w:styleId="berschrift3">
    <w:name w:val="heading 3"/>
    <w:basedOn w:val="Standard"/>
    <w:next w:val="Standard"/>
    <w:link w:val="berschrift3Zchn"/>
    <w:uiPriority w:val="9"/>
    <w:unhideWhenUsed/>
    <w:qFormat/>
    <w:rsid w:val="00FA1C57"/>
    <w:pPr>
      <w:keepNext/>
      <w:keepLines/>
      <w:spacing w:before="120" w:after="0"/>
      <w:outlineLvl w:val="2"/>
    </w:pPr>
    <w:rPr>
      <w:b/>
    </w:rPr>
  </w:style>
  <w:style w:type="paragraph" w:styleId="berschrift4">
    <w:name w:val="heading 4"/>
    <w:basedOn w:val="Standard"/>
    <w:next w:val="Standard"/>
    <w:link w:val="berschrift4Zchn"/>
    <w:uiPriority w:val="9"/>
    <w:unhideWhenUsed/>
    <w:qFormat/>
    <w:rsid w:val="006117B0"/>
    <w:pPr>
      <w:keepNext/>
      <w:keepLines/>
      <w:numPr>
        <w:numId w:val="12"/>
      </w:numPr>
      <w:spacing w:before="120" w:after="0"/>
      <w:outlineLvl w:val="3"/>
    </w:pPr>
    <w:rPr>
      <w:b/>
    </w:rPr>
  </w:style>
  <w:style w:type="paragraph" w:styleId="berschrift5">
    <w:name w:val="heading 5"/>
    <w:basedOn w:val="Standard"/>
    <w:next w:val="Standard"/>
    <w:link w:val="berschrift5Zchn"/>
    <w:uiPriority w:val="9"/>
    <w:unhideWhenUsed/>
    <w:qFormat/>
    <w:rsid w:val="006117B0"/>
    <w:pPr>
      <w:keepNext/>
      <w:keepLines/>
      <w:numPr>
        <w:numId w:val="4"/>
      </w:numPr>
      <w:spacing w:before="200"/>
      <w:outlineLvl w:val="4"/>
    </w:pPr>
    <w:rPr>
      <w:rFonts w:eastAsiaTheme="majorEastAsia" w:cstheme="majorBidi"/>
      <w:u w:val="single"/>
      <w:lang w:val="en-US"/>
    </w:rPr>
  </w:style>
  <w:style w:type="paragraph" w:styleId="berschrift6">
    <w:name w:val="heading 6"/>
    <w:basedOn w:val="Standard"/>
    <w:next w:val="Standard"/>
    <w:link w:val="berschrift6Zchn"/>
    <w:autoRedefine/>
    <w:uiPriority w:val="9"/>
    <w:unhideWhenUsed/>
    <w:qFormat/>
    <w:rsid w:val="00797F71"/>
    <w:pPr>
      <w:keepNext/>
      <w:keepLines/>
      <w:spacing w:before="200" w:after="0"/>
      <w:ind w:left="720" w:hanging="720"/>
      <w:outlineLvl w:val="5"/>
    </w:pPr>
    <w:rPr>
      <w:rFonts w:eastAsiaTheme="majorEastAsia" w:cstheme="majorBidi"/>
      <w:i/>
      <w:iCs/>
    </w:rPr>
  </w:style>
  <w:style w:type="paragraph" w:styleId="berschrift7">
    <w:name w:val="heading 7"/>
    <w:basedOn w:val="Standard"/>
    <w:next w:val="Standard"/>
    <w:link w:val="berschrift7Zchn"/>
    <w:autoRedefine/>
    <w:uiPriority w:val="9"/>
    <w:unhideWhenUsed/>
    <w:qFormat/>
    <w:rsid w:val="009A7966"/>
    <w:pPr>
      <w:keepNext/>
      <w:keepLines/>
      <w:spacing w:before="40" w:after="0"/>
      <w:outlineLvl w:val="6"/>
    </w:pPr>
    <w:rPr>
      <w:rFonts w:asciiTheme="majorHAnsi" w:eastAsiaTheme="majorEastAsia" w:hAnsiTheme="majorHAnsi" w:cstheme="majorBidi"/>
      <w:i/>
      <w:iCs/>
    </w:rPr>
  </w:style>
  <w:style w:type="paragraph" w:styleId="berschrift8">
    <w:name w:val="heading 8"/>
    <w:basedOn w:val="Standard"/>
    <w:next w:val="Standard"/>
    <w:link w:val="berschrift8Zchn"/>
    <w:autoRedefine/>
    <w:uiPriority w:val="9"/>
    <w:unhideWhenUsed/>
    <w:qFormat/>
    <w:rsid w:val="009330BA"/>
    <w:pPr>
      <w:keepNext/>
      <w:keepLines/>
      <w:spacing w:before="200" w:after="0"/>
      <w:outlineLvl w:val="7"/>
    </w:pPr>
    <w:rPr>
      <w:rFonts w:asciiTheme="majorHAnsi" w:eastAsiaTheme="majorEastAsia" w:hAnsiTheme="majorHAnsi" w:cstheme="majorBidi"/>
      <w:sz w:val="20"/>
      <w:szCs w:val="20"/>
    </w:rPr>
  </w:style>
  <w:style w:type="paragraph" w:styleId="berschrift9">
    <w:name w:val="heading 9"/>
    <w:basedOn w:val="Standard"/>
    <w:next w:val="Standard"/>
    <w:link w:val="berschrift9Zchn"/>
    <w:uiPriority w:val="9"/>
    <w:unhideWhenUsed/>
    <w:qFormat/>
    <w:rsid w:val="009330B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84FF1"/>
    <w:rPr>
      <w:color w:val="0000FF" w:themeColor="hyperlink"/>
      <w:u w:val="single"/>
    </w:rPr>
  </w:style>
  <w:style w:type="paragraph" w:styleId="Listenabsatz">
    <w:name w:val="List Paragraph"/>
    <w:basedOn w:val="Standard"/>
    <w:uiPriority w:val="34"/>
    <w:qFormat/>
    <w:rsid w:val="00787D5F"/>
    <w:pPr>
      <w:numPr>
        <w:numId w:val="2"/>
      </w:numPr>
      <w:contextualSpacing/>
    </w:pPr>
  </w:style>
  <w:style w:type="paragraph" w:styleId="Kopfzeile">
    <w:name w:val="header"/>
    <w:basedOn w:val="Standard"/>
    <w:link w:val="KopfzeileZchn"/>
    <w:uiPriority w:val="99"/>
    <w:unhideWhenUsed/>
    <w:rsid w:val="00423989"/>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423989"/>
  </w:style>
  <w:style w:type="paragraph" w:styleId="Fuzeile">
    <w:name w:val="footer"/>
    <w:basedOn w:val="Standard"/>
    <w:link w:val="FuzeileZchn"/>
    <w:uiPriority w:val="99"/>
    <w:unhideWhenUsed/>
    <w:rsid w:val="00423989"/>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423989"/>
  </w:style>
  <w:style w:type="paragraph" w:styleId="Sprechblasentext">
    <w:name w:val="Balloon Text"/>
    <w:basedOn w:val="Standard"/>
    <w:link w:val="SprechblasentextZchn"/>
    <w:uiPriority w:val="99"/>
    <w:semiHidden/>
    <w:unhideWhenUsed/>
    <w:rsid w:val="00665E5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5E5A"/>
    <w:rPr>
      <w:rFonts w:ascii="Tahoma" w:hAnsi="Tahoma" w:cs="Tahoma"/>
      <w:sz w:val="16"/>
      <w:szCs w:val="16"/>
    </w:rPr>
  </w:style>
  <w:style w:type="character" w:customStyle="1" w:styleId="berschrift1Zchn">
    <w:name w:val="Überschrift 1 Zchn"/>
    <w:basedOn w:val="Absatz-Standardschriftart"/>
    <w:link w:val="berschrift1"/>
    <w:uiPriority w:val="9"/>
    <w:rsid w:val="004B3D32"/>
    <w:rPr>
      <w:rFonts w:ascii="Calibri" w:eastAsiaTheme="majorEastAsia" w:hAnsi="Calibri" w:cstheme="majorBidi"/>
      <w:b/>
      <w:bCs/>
      <w:sz w:val="28"/>
      <w:szCs w:val="28"/>
    </w:rPr>
  </w:style>
  <w:style w:type="character" w:customStyle="1" w:styleId="berschrift2Zchn">
    <w:name w:val="Überschrift 2 Zchn"/>
    <w:basedOn w:val="Absatz-Standardschriftart"/>
    <w:link w:val="berschrift2"/>
    <w:uiPriority w:val="9"/>
    <w:rsid w:val="004B3D32"/>
    <w:rPr>
      <w:rFonts w:ascii="Calibri" w:eastAsiaTheme="majorEastAsia" w:hAnsi="Calibri" w:cstheme="majorBidi"/>
      <w:b/>
      <w:bCs/>
      <w:sz w:val="26"/>
      <w:szCs w:val="26"/>
      <w:lang w:val="en-US"/>
    </w:rPr>
  </w:style>
  <w:style w:type="character" w:customStyle="1" w:styleId="berschrift3Zchn">
    <w:name w:val="Überschrift 3 Zchn"/>
    <w:basedOn w:val="Absatz-Standardschriftart"/>
    <w:link w:val="berschrift3"/>
    <w:uiPriority w:val="9"/>
    <w:rsid w:val="00D8747D"/>
    <w:rPr>
      <w:rFonts w:ascii="Calibri" w:hAnsi="Calibri"/>
      <w:b/>
    </w:rPr>
  </w:style>
  <w:style w:type="character" w:customStyle="1" w:styleId="berschrift4Zchn">
    <w:name w:val="Überschrift 4 Zchn"/>
    <w:basedOn w:val="Absatz-Standardschriftart"/>
    <w:link w:val="berschrift4"/>
    <w:uiPriority w:val="9"/>
    <w:rsid w:val="00966ADF"/>
    <w:rPr>
      <w:rFonts w:ascii="Calibri" w:hAnsi="Calibri"/>
      <w:b/>
    </w:rPr>
  </w:style>
  <w:style w:type="character" w:customStyle="1" w:styleId="berschrift5Zchn">
    <w:name w:val="Überschrift 5 Zchn"/>
    <w:basedOn w:val="Absatz-Standardschriftart"/>
    <w:link w:val="berschrift5"/>
    <w:uiPriority w:val="9"/>
    <w:rsid w:val="000664F5"/>
    <w:rPr>
      <w:rFonts w:ascii="Calibri" w:eastAsiaTheme="majorEastAsia" w:hAnsi="Calibri" w:cstheme="majorBidi"/>
      <w:u w:val="single"/>
      <w:lang w:val="en-US"/>
    </w:rPr>
  </w:style>
  <w:style w:type="character" w:customStyle="1" w:styleId="berschrift6Zchn">
    <w:name w:val="Überschrift 6 Zchn"/>
    <w:basedOn w:val="Absatz-Standardschriftart"/>
    <w:link w:val="berschrift6"/>
    <w:uiPriority w:val="9"/>
    <w:rsid w:val="00797F71"/>
    <w:rPr>
      <w:rFonts w:ascii="Calibri" w:eastAsiaTheme="majorEastAsia" w:hAnsi="Calibri" w:cstheme="majorBidi"/>
      <w:i/>
      <w:iCs/>
    </w:rPr>
  </w:style>
  <w:style w:type="paragraph" w:customStyle="1" w:styleId="Formelerluterung">
    <w:name w:val="Formelerläuterung"/>
    <w:basedOn w:val="Standard"/>
    <w:link w:val="FormelerluterungChar"/>
    <w:autoRedefine/>
    <w:qFormat/>
    <w:rsid w:val="00954AC6"/>
    <w:pPr>
      <w:keepNext/>
      <w:ind w:left="1440" w:hanging="720"/>
    </w:pPr>
    <w:rPr>
      <w:lang w:val="en-US"/>
    </w:rPr>
  </w:style>
  <w:style w:type="character" w:customStyle="1" w:styleId="FormelerluterungChar">
    <w:name w:val="Formelerläuterung Char"/>
    <w:basedOn w:val="Absatz-Standardschriftart"/>
    <w:link w:val="Formelerluterung"/>
    <w:rsid w:val="00954AC6"/>
    <w:rPr>
      <w:rFonts w:ascii="Calibri" w:hAnsi="Calibri"/>
      <w:sz w:val="24"/>
      <w:lang w:val="en-US"/>
    </w:rPr>
  </w:style>
  <w:style w:type="paragraph" w:styleId="Funotentext">
    <w:name w:val="footnote text"/>
    <w:basedOn w:val="Standard"/>
    <w:link w:val="FunotentextZchn"/>
    <w:uiPriority w:val="99"/>
    <w:unhideWhenUsed/>
    <w:rsid w:val="00B17EF9"/>
    <w:pPr>
      <w:spacing w:after="0" w:line="240" w:lineRule="auto"/>
    </w:pPr>
    <w:rPr>
      <w:sz w:val="20"/>
      <w:szCs w:val="20"/>
    </w:rPr>
  </w:style>
  <w:style w:type="character" w:customStyle="1" w:styleId="FunotentextZchn">
    <w:name w:val="Fußnotentext Zchn"/>
    <w:basedOn w:val="Absatz-Standardschriftart"/>
    <w:link w:val="Funotentext"/>
    <w:uiPriority w:val="99"/>
    <w:rsid w:val="00B17EF9"/>
    <w:rPr>
      <w:rFonts w:ascii="CG Times" w:hAnsi="CG Times"/>
      <w:sz w:val="20"/>
      <w:szCs w:val="20"/>
    </w:rPr>
  </w:style>
  <w:style w:type="character" w:styleId="Funotenzeichen">
    <w:name w:val="footnote reference"/>
    <w:basedOn w:val="Absatz-Standardschriftart"/>
    <w:uiPriority w:val="99"/>
    <w:semiHidden/>
    <w:unhideWhenUsed/>
    <w:rsid w:val="00B17EF9"/>
    <w:rPr>
      <w:vertAlign w:val="superscript"/>
    </w:rPr>
  </w:style>
  <w:style w:type="paragraph" w:styleId="Inhaltsverzeichnisberschrift">
    <w:name w:val="TOC Heading"/>
    <w:basedOn w:val="berschrift1"/>
    <w:next w:val="Standard"/>
    <w:uiPriority w:val="39"/>
    <w:unhideWhenUsed/>
    <w:qFormat/>
    <w:rsid w:val="00CF6997"/>
    <w:pPr>
      <w:numPr>
        <w:numId w:val="0"/>
      </w:numPr>
      <w:spacing w:after="360" w:line="276" w:lineRule="auto"/>
      <w:jc w:val="center"/>
      <w:outlineLvl w:val="9"/>
    </w:pPr>
    <w:rPr>
      <w:sz w:val="32"/>
      <w:lang w:val="en-US"/>
    </w:rPr>
  </w:style>
  <w:style w:type="paragraph" w:styleId="Verzeichnis1">
    <w:name w:val="toc 1"/>
    <w:basedOn w:val="Standard"/>
    <w:next w:val="Standard"/>
    <w:autoRedefine/>
    <w:uiPriority w:val="39"/>
    <w:unhideWhenUsed/>
    <w:rsid w:val="00EB301E"/>
    <w:pPr>
      <w:tabs>
        <w:tab w:val="left" w:pos="648"/>
        <w:tab w:val="right" w:leader="dot" w:pos="9019"/>
      </w:tabs>
      <w:spacing w:before="240" w:after="100"/>
      <w:ind w:left="648" w:hanging="648"/>
    </w:pPr>
    <w:rPr>
      <w:b/>
      <w:noProof/>
      <w:lang w:val="en-US"/>
    </w:rPr>
  </w:style>
  <w:style w:type="paragraph" w:styleId="Verzeichnis2">
    <w:name w:val="toc 2"/>
    <w:basedOn w:val="Standard"/>
    <w:next w:val="Standard"/>
    <w:autoRedefine/>
    <w:uiPriority w:val="39"/>
    <w:unhideWhenUsed/>
    <w:rsid w:val="00594833"/>
    <w:pPr>
      <w:tabs>
        <w:tab w:val="left" w:pos="1540"/>
        <w:tab w:val="right" w:leader="dot" w:pos="9019"/>
      </w:tabs>
      <w:spacing w:before="240" w:after="100"/>
      <w:ind w:left="1296" w:hanging="432"/>
    </w:pPr>
    <w:rPr>
      <w:b/>
      <w:noProof/>
      <w:sz w:val="16"/>
    </w:rPr>
  </w:style>
  <w:style w:type="paragraph" w:styleId="Verzeichnis3">
    <w:name w:val="toc 3"/>
    <w:basedOn w:val="Standard"/>
    <w:next w:val="Standard"/>
    <w:autoRedefine/>
    <w:uiPriority w:val="39"/>
    <w:unhideWhenUsed/>
    <w:rsid w:val="00594833"/>
    <w:pPr>
      <w:tabs>
        <w:tab w:val="left" w:pos="1872"/>
        <w:tab w:val="right" w:leader="dot" w:pos="9019"/>
      </w:tabs>
      <w:spacing w:before="120"/>
      <w:ind w:left="1584" w:hanging="288"/>
    </w:pPr>
    <w:rPr>
      <w:noProof/>
      <w:sz w:val="16"/>
      <w:lang w:val="en-US"/>
    </w:rPr>
  </w:style>
  <w:style w:type="paragraph" w:styleId="Verzeichnis4">
    <w:name w:val="toc 4"/>
    <w:basedOn w:val="Standard"/>
    <w:next w:val="Standard"/>
    <w:autoRedefine/>
    <w:uiPriority w:val="39"/>
    <w:unhideWhenUsed/>
    <w:rsid w:val="00594833"/>
    <w:pPr>
      <w:tabs>
        <w:tab w:val="left" w:pos="1771"/>
        <w:tab w:val="left" w:pos="2160"/>
        <w:tab w:val="left" w:pos="2880"/>
        <w:tab w:val="right" w:leader="dot" w:pos="9019"/>
      </w:tabs>
      <w:spacing w:before="120"/>
      <w:ind w:left="1872" w:hanging="288"/>
    </w:pPr>
    <w:rPr>
      <w:noProof/>
      <w:sz w:val="16"/>
      <w:lang w:val="en-US"/>
    </w:rPr>
  </w:style>
  <w:style w:type="paragraph" w:styleId="Verzeichnis5">
    <w:name w:val="toc 5"/>
    <w:basedOn w:val="Standard"/>
    <w:next w:val="Standard"/>
    <w:autoRedefine/>
    <w:uiPriority w:val="39"/>
    <w:unhideWhenUsed/>
    <w:rsid w:val="007E2DB5"/>
    <w:pPr>
      <w:tabs>
        <w:tab w:val="left" w:pos="2880"/>
        <w:tab w:val="right" w:leader="dot" w:pos="9019"/>
      </w:tabs>
      <w:spacing w:before="60" w:after="60"/>
      <w:ind w:left="2448" w:hanging="432"/>
    </w:pPr>
    <w:rPr>
      <w:i/>
      <w:sz w:val="16"/>
    </w:rPr>
  </w:style>
  <w:style w:type="paragraph" w:styleId="Endnotentext">
    <w:name w:val="endnote text"/>
    <w:basedOn w:val="Standard"/>
    <w:link w:val="EndnotentextZchn"/>
    <w:uiPriority w:val="99"/>
    <w:semiHidden/>
    <w:unhideWhenUsed/>
    <w:rsid w:val="00B301D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B301DB"/>
    <w:rPr>
      <w:rFonts w:ascii="CG Times" w:hAnsi="CG Times"/>
      <w:sz w:val="20"/>
      <w:szCs w:val="20"/>
    </w:rPr>
  </w:style>
  <w:style w:type="character" w:styleId="Endnotenzeichen">
    <w:name w:val="endnote reference"/>
    <w:basedOn w:val="Absatz-Standardschriftart"/>
    <w:uiPriority w:val="99"/>
    <w:semiHidden/>
    <w:unhideWhenUsed/>
    <w:rsid w:val="00B301DB"/>
    <w:rPr>
      <w:vertAlign w:val="superscript"/>
    </w:rPr>
  </w:style>
  <w:style w:type="paragraph" w:styleId="Verzeichnis6">
    <w:name w:val="toc 6"/>
    <w:basedOn w:val="Standard"/>
    <w:next w:val="Standard"/>
    <w:autoRedefine/>
    <w:uiPriority w:val="39"/>
    <w:unhideWhenUsed/>
    <w:rsid w:val="00EF3525"/>
    <w:pPr>
      <w:tabs>
        <w:tab w:val="left" w:pos="3119"/>
        <w:tab w:val="right" w:leader="dot" w:pos="9019"/>
      </w:tabs>
      <w:spacing w:after="100" w:line="259" w:lineRule="auto"/>
      <w:ind w:left="2835"/>
    </w:pPr>
    <w:rPr>
      <w:rFonts w:asciiTheme="minorHAnsi" w:eastAsiaTheme="minorEastAsia" w:hAnsiTheme="minorHAnsi"/>
      <w:noProof/>
      <w:sz w:val="16"/>
      <w:lang w:val="en-US"/>
    </w:rPr>
  </w:style>
  <w:style w:type="paragraph" w:styleId="Verzeichnis7">
    <w:name w:val="toc 7"/>
    <w:basedOn w:val="Standard"/>
    <w:next w:val="Standard"/>
    <w:autoRedefine/>
    <w:uiPriority w:val="39"/>
    <w:unhideWhenUsed/>
    <w:rsid w:val="00B16B6E"/>
    <w:pPr>
      <w:spacing w:after="100" w:line="259" w:lineRule="auto"/>
      <w:ind w:left="1320"/>
    </w:pPr>
    <w:rPr>
      <w:rFonts w:asciiTheme="minorHAnsi" w:eastAsiaTheme="minorEastAsia" w:hAnsiTheme="minorHAnsi"/>
      <w:lang w:val="en-US"/>
    </w:rPr>
  </w:style>
  <w:style w:type="paragraph" w:styleId="Verzeichnis8">
    <w:name w:val="toc 8"/>
    <w:basedOn w:val="Standard"/>
    <w:next w:val="Standard"/>
    <w:autoRedefine/>
    <w:uiPriority w:val="39"/>
    <w:unhideWhenUsed/>
    <w:rsid w:val="00B16B6E"/>
    <w:pPr>
      <w:spacing w:after="100" w:line="259" w:lineRule="auto"/>
      <w:ind w:left="1540"/>
    </w:pPr>
    <w:rPr>
      <w:rFonts w:asciiTheme="minorHAnsi" w:eastAsiaTheme="minorEastAsia" w:hAnsiTheme="minorHAnsi"/>
      <w:lang w:val="en-US"/>
    </w:rPr>
  </w:style>
  <w:style w:type="paragraph" w:styleId="Verzeichnis9">
    <w:name w:val="toc 9"/>
    <w:basedOn w:val="Standard"/>
    <w:next w:val="Standard"/>
    <w:autoRedefine/>
    <w:uiPriority w:val="39"/>
    <w:unhideWhenUsed/>
    <w:rsid w:val="00B16B6E"/>
    <w:pPr>
      <w:spacing w:after="100" w:line="259" w:lineRule="auto"/>
      <w:ind w:left="1760"/>
    </w:pPr>
    <w:rPr>
      <w:rFonts w:asciiTheme="minorHAnsi" w:eastAsiaTheme="minorEastAsia" w:hAnsiTheme="minorHAnsi"/>
      <w:lang w:val="en-US"/>
    </w:rPr>
  </w:style>
  <w:style w:type="paragraph" w:styleId="berarbeitung">
    <w:name w:val="Revision"/>
    <w:hidden/>
    <w:uiPriority w:val="99"/>
    <w:semiHidden/>
    <w:rsid w:val="00E724A4"/>
    <w:pPr>
      <w:spacing w:after="0" w:line="240" w:lineRule="auto"/>
    </w:pPr>
    <w:rPr>
      <w:rFonts w:ascii="CG Times" w:hAnsi="CG Times"/>
    </w:rPr>
  </w:style>
  <w:style w:type="paragraph" w:customStyle="1" w:styleId="Anhangsverzeichnis">
    <w:name w:val="Anhangsverzeichnis"/>
    <w:basedOn w:val="Listenabsatz"/>
    <w:rsid w:val="00D36D43"/>
    <w:pPr>
      <w:numPr>
        <w:numId w:val="3"/>
      </w:numPr>
      <w:spacing w:before="360" w:after="360" w:line="360" w:lineRule="auto"/>
      <w:ind w:left="1440" w:hanging="1440"/>
      <w:contextualSpacing w:val="0"/>
    </w:pPr>
    <w:rPr>
      <w:rFonts w:eastAsia="Times New Roman" w:cs="Times New Roman"/>
      <w:szCs w:val="20"/>
    </w:rPr>
  </w:style>
  <w:style w:type="paragraph" w:styleId="Untertitel">
    <w:name w:val="Subtitle"/>
    <w:basedOn w:val="Standard"/>
    <w:next w:val="Standard"/>
    <w:link w:val="UntertitelZchn"/>
    <w:autoRedefine/>
    <w:uiPriority w:val="11"/>
    <w:qFormat/>
    <w:rsid w:val="00FA4A63"/>
    <w:pPr>
      <w:numPr>
        <w:ilvl w:val="1"/>
      </w:numPr>
      <w:spacing w:after="160"/>
    </w:pPr>
    <w:rPr>
      <w:rFonts w:asciiTheme="minorHAnsi" w:eastAsiaTheme="minorEastAsia" w:hAnsiTheme="minorHAnsi"/>
      <w:spacing w:val="15"/>
    </w:rPr>
  </w:style>
  <w:style w:type="character" w:customStyle="1" w:styleId="UntertitelZchn">
    <w:name w:val="Untertitel Zchn"/>
    <w:basedOn w:val="Absatz-Standardschriftart"/>
    <w:link w:val="Untertitel"/>
    <w:uiPriority w:val="11"/>
    <w:rsid w:val="00FA4A63"/>
    <w:rPr>
      <w:rFonts w:eastAsiaTheme="minorEastAsia"/>
      <w:spacing w:val="15"/>
    </w:rPr>
  </w:style>
  <w:style w:type="paragraph" w:styleId="Titel">
    <w:name w:val="Title"/>
    <w:basedOn w:val="Standard"/>
    <w:next w:val="Standard"/>
    <w:link w:val="TitelZchn"/>
    <w:uiPriority w:val="10"/>
    <w:qFormat/>
    <w:rsid w:val="00642B8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42B85"/>
    <w:rPr>
      <w:rFonts w:asciiTheme="majorHAnsi" w:eastAsiaTheme="majorEastAsia" w:hAnsiTheme="majorHAnsi" w:cstheme="majorBidi"/>
      <w:spacing w:val="-10"/>
      <w:kern w:val="28"/>
      <w:sz w:val="56"/>
      <w:szCs w:val="56"/>
    </w:rPr>
  </w:style>
  <w:style w:type="character" w:styleId="Kommentarzeichen">
    <w:name w:val="annotation reference"/>
    <w:basedOn w:val="Absatz-Standardschriftart"/>
    <w:uiPriority w:val="99"/>
    <w:semiHidden/>
    <w:unhideWhenUsed/>
    <w:rsid w:val="003F2FD4"/>
    <w:rPr>
      <w:sz w:val="16"/>
      <w:szCs w:val="16"/>
    </w:rPr>
  </w:style>
  <w:style w:type="paragraph" w:styleId="Kommentartext">
    <w:name w:val="annotation text"/>
    <w:basedOn w:val="Standard"/>
    <w:link w:val="KommentartextZchn"/>
    <w:uiPriority w:val="99"/>
    <w:semiHidden/>
    <w:unhideWhenUsed/>
    <w:rsid w:val="003F2FD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F2FD4"/>
    <w:rPr>
      <w:rFonts w:ascii="Calibri" w:hAnsi="Calibri"/>
      <w:sz w:val="20"/>
      <w:szCs w:val="20"/>
    </w:rPr>
  </w:style>
  <w:style w:type="paragraph" w:styleId="Kommentarthema">
    <w:name w:val="annotation subject"/>
    <w:basedOn w:val="Kommentartext"/>
    <w:next w:val="Kommentartext"/>
    <w:link w:val="KommentarthemaZchn"/>
    <w:uiPriority w:val="99"/>
    <w:semiHidden/>
    <w:unhideWhenUsed/>
    <w:rsid w:val="003F2FD4"/>
    <w:rPr>
      <w:b/>
      <w:bCs/>
    </w:rPr>
  </w:style>
  <w:style w:type="character" w:customStyle="1" w:styleId="KommentarthemaZchn">
    <w:name w:val="Kommentarthema Zchn"/>
    <w:basedOn w:val="KommentartextZchn"/>
    <w:link w:val="Kommentarthema"/>
    <w:uiPriority w:val="99"/>
    <w:semiHidden/>
    <w:rsid w:val="003F2FD4"/>
    <w:rPr>
      <w:rFonts w:ascii="Calibri" w:hAnsi="Calibri"/>
      <w:b/>
      <w:bCs/>
      <w:sz w:val="20"/>
      <w:szCs w:val="20"/>
    </w:rPr>
  </w:style>
  <w:style w:type="character" w:customStyle="1" w:styleId="berschrift7Zchn">
    <w:name w:val="Überschrift 7 Zchn"/>
    <w:basedOn w:val="Absatz-Standardschriftart"/>
    <w:link w:val="berschrift7"/>
    <w:uiPriority w:val="9"/>
    <w:rsid w:val="009A7966"/>
    <w:rPr>
      <w:rFonts w:asciiTheme="majorHAnsi" w:eastAsiaTheme="majorEastAsia" w:hAnsiTheme="majorHAnsi" w:cstheme="majorBidi"/>
      <w:i/>
      <w:iCs/>
    </w:rPr>
  </w:style>
  <w:style w:type="paragraph" w:customStyle="1" w:styleId="BNAFootnote">
    <w:name w:val="BNA Footnote"/>
    <w:basedOn w:val="Standard"/>
    <w:qFormat/>
    <w:rsid w:val="005B109D"/>
    <w:pPr>
      <w:spacing w:line="240" w:lineRule="auto"/>
      <w:ind w:left="567"/>
    </w:pPr>
    <w:rPr>
      <w:sz w:val="20"/>
      <w:lang w:val="en-US"/>
    </w:rPr>
  </w:style>
  <w:style w:type="paragraph" w:styleId="Zitat">
    <w:name w:val="Quote"/>
    <w:basedOn w:val="Standard"/>
    <w:next w:val="Standard"/>
    <w:link w:val="ZitatZchn"/>
    <w:uiPriority w:val="29"/>
    <w:qFormat/>
    <w:rsid w:val="00305BFA"/>
    <w:rPr>
      <w:i/>
      <w:iCs/>
      <w:color w:val="000000" w:themeColor="text1"/>
    </w:rPr>
  </w:style>
  <w:style w:type="character" w:customStyle="1" w:styleId="ZitatZchn">
    <w:name w:val="Zitat Zchn"/>
    <w:basedOn w:val="Absatz-Standardschriftart"/>
    <w:link w:val="Zitat"/>
    <w:uiPriority w:val="29"/>
    <w:rsid w:val="00305BFA"/>
    <w:rPr>
      <w:rFonts w:ascii="Calibri" w:hAnsi="Calibri"/>
      <w:i/>
      <w:iCs/>
      <w:color w:val="000000" w:themeColor="text1"/>
    </w:rPr>
  </w:style>
  <w:style w:type="character" w:customStyle="1" w:styleId="berschrift8Zchn">
    <w:name w:val="Überschrift 8 Zchn"/>
    <w:basedOn w:val="Absatz-Standardschriftart"/>
    <w:link w:val="berschrift8"/>
    <w:uiPriority w:val="9"/>
    <w:rsid w:val="009330BA"/>
    <w:rPr>
      <w:rFonts w:asciiTheme="majorHAnsi" w:eastAsiaTheme="majorEastAsia" w:hAnsiTheme="majorHAnsi" w:cstheme="majorBidi"/>
      <w:sz w:val="20"/>
      <w:szCs w:val="20"/>
    </w:rPr>
  </w:style>
  <w:style w:type="character" w:customStyle="1" w:styleId="berschrift9Zchn">
    <w:name w:val="Überschrift 9 Zchn"/>
    <w:basedOn w:val="Absatz-Standardschriftart"/>
    <w:link w:val="berschrift9"/>
    <w:uiPriority w:val="9"/>
    <w:rsid w:val="009330BA"/>
    <w:rPr>
      <w:rFonts w:asciiTheme="majorHAnsi" w:eastAsiaTheme="majorEastAsia" w:hAnsiTheme="majorHAnsi" w:cstheme="majorBidi"/>
      <w:i/>
      <w:iCs/>
      <w:color w:val="404040" w:themeColor="text1" w:themeTint="BF"/>
      <w:sz w:val="20"/>
      <w:szCs w:val="20"/>
    </w:rPr>
  </w:style>
  <w:style w:type="character" w:styleId="NichtaufgelsteErwhnung">
    <w:name w:val="Unresolved Mention"/>
    <w:basedOn w:val="Absatz-Standardschriftart"/>
    <w:uiPriority w:val="99"/>
    <w:semiHidden/>
    <w:unhideWhenUsed/>
    <w:rsid w:val="00090321"/>
    <w:rPr>
      <w:color w:val="605E5C"/>
      <w:shd w:val="clear" w:color="auto" w:fill="E1DFDD"/>
    </w:rPr>
  </w:style>
  <w:style w:type="character" w:customStyle="1" w:styleId="mw-headline">
    <w:name w:val="mw-headline"/>
    <w:basedOn w:val="Absatz-Standardschriftart"/>
    <w:rsid w:val="00165095"/>
  </w:style>
  <w:style w:type="character" w:customStyle="1" w:styleId="mw-editsection">
    <w:name w:val="mw-editsection"/>
    <w:basedOn w:val="Absatz-Standardschriftart"/>
    <w:rsid w:val="00165095"/>
  </w:style>
  <w:style w:type="character" w:customStyle="1" w:styleId="mw-editsection-bracket">
    <w:name w:val="mw-editsection-bracket"/>
    <w:basedOn w:val="Absatz-Standardschriftart"/>
    <w:rsid w:val="00165095"/>
  </w:style>
  <w:style w:type="paragraph" w:styleId="StandardWeb">
    <w:name w:val="Normal (Web)"/>
    <w:basedOn w:val="Standard"/>
    <w:uiPriority w:val="99"/>
    <w:semiHidden/>
    <w:unhideWhenUsed/>
    <w:rsid w:val="0016509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ett">
    <w:name w:val="Strong"/>
    <w:basedOn w:val="Absatz-Standardschriftart"/>
    <w:uiPriority w:val="22"/>
    <w:qFormat/>
    <w:rsid w:val="00BA3073"/>
    <w:rPr>
      <w:b/>
      <w:bCs/>
    </w:rPr>
  </w:style>
  <w:style w:type="table" w:styleId="Tabellenraster">
    <w:name w:val="Table Grid"/>
    <w:basedOn w:val="NormaleTabelle"/>
    <w:uiPriority w:val="59"/>
    <w:rsid w:val="00812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504C"/>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BesuchterLink">
    <w:name w:val="FollowedHyperlink"/>
    <w:basedOn w:val="Absatz-Standardschriftart"/>
    <w:uiPriority w:val="99"/>
    <w:semiHidden/>
    <w:unhideWhenUsed/>
    <w:rsid w:val="004005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403414">
      <w:bodyDiv w:val="1"/>
      <w:marLeft w:val="0"/>
      <w:marRight w:val="0"/>
      <w:marTop w:val="0"/>
      <w:marBottom w:val="0"/>
      <w:divBdr>
        <w:top w:val="none" w:sz="0" w:space="0" w:color="auto"/>
        <w:left w:val="none" w:sz="0" w:space="0" w:color="auto"/>
        <w:bottom w:val="none" w:sz="0" w:space="0" w:color="auto"/>
        <w:right w:val="none" w:sz="0" w:space="0" w:color="auto"/>
      </w:divBdr>
    </w:div>
    <w:div w:id="510294435">
      <w:bodyDiv w:val="1"/>
      <w:marLeft w:val="0"/>
      <w:marRight w:val="0"/>
      <w:marTop w:val="0"/>
      <w:marBottom w:val="0"/>
      <w:divBdr>
        <w:top w:val="none" w:sz="0" w:space="0" w:color="auto"/>
        <w:left w:val="none" w:sz="0" w:space="0" w:color="auto"/>
        <w:bottom w:val="none" w:sz="0" w:space="0" w:color="auto"/>
        <w:right w:val="none" w:sz="0" w:space="0" w:color="auto"/>
      </w:divBdr>
    </w:div>
    <w:div w:id="522089052">
      <w:bodyDiv w:val="1"/>
      <w:marLeft w:val="0"/>
      <w:marRight w:val="0"/>
      <w:marTop w:val="0"/>
      <w:marBottom w:val="0"/>
      <w:divBdr>
        <w:top w:val="none" w:sz="0" w:space="0" w:color="auto"/>
        <w:left w:val="none" w:sz="0" w:space="0" w:color="auto"/>
        <w:bottom w:val="none" w:sz="0" w:space="0" w:color="auto"/>
        <w:right w:val="none" w:sz="0" w:space="0" w:color="auto"/>
      </w:divBdr>
    </w:div>
    <w:div w:id="1136026150">
      <w:bodyDiv w:val="1"/>
      <w:marLeft w:val="0"/>
      <w:marRight w:val="0"/>
      <w:marTop w:val="0"/>
      <w:marBottom w:val="0"/>
      <w:divBdr>
        <w:top w:val="none" w:sz="0" w:space="0" w:color="auto"/>
        <w:left w:val="none" w:sz="0" w:space="0" w:color="auto"/>
        <w:bottom w:val="none" w:sz="0" w:space="0" w:color="auto"/>
        <w:right w:val="none" w:sz="0" w:space="0" w:color="auto"/>
      </w:divBdr>
    </w:div>
    <w:div w:id="1281691284">
      <w:bodyDiv w:val="1"/>
      <w:marLeft w:val="0"/>
      <w:marRight w:val="0"/>
      <w:marTop w:val="0"/>
      <w:marBottom w:val="0"/>
      <w:divBdr>
        <w:top w:val="none" w:sz="0" w:space="0" w:color="auto"/>
        <w:left w:val="none" w:sz="0" w:space="0" w:color="auto"/>
        <w:bottom w:val="none" w:sz="0" w:space="0" w:color="auto"/>
        <w:right w:val="none" w:sz="0" w:space="0" w:color="auto"/>
      </w:divBdr>
    </w:div>
    <w:div w:id="1664815570">
      <w:bodyDiv w:val="1"/>
      <w:marLeft w:val="0"/>
      <w:marRight w:val="0"/>
      <w:marTop w:val="0"/>
      <w:marBottom w:val="0"/>
      <w:divBdr>
        <w:top w:val="none" w:sz="0" w:space="0" w:color="auto"/>
        <w:left w:val="none" w:sz="0" w:space="0" w:color="auto"/>
        <w:bottom w:val="none" w:sz="0" w:space="0" w:color="auto"/>
        <w:right w:val="none" w:sz="0" w:space="0" w:color="auto"/>
      </w:divBdr>
    </w:div>
    <w:div w:id="1717974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ederalregister.gov/public-inspection/2023-26399/beneficial-ownership-information-reporting-deadline-extension-for-reporting-companies-created-or" TargetMode="External"/><Relationship Id="rId18" Type="http://schemas.openxmlformats.org/officeDocument/2006/relationships/hyperlink" Target="https://www.fincen.gov/news/news-releases/fact-sheet-beneficial-ownership-information-access-and-safeguards-final-rule" TargetMode="External"/><Relationship Id="rId26" Type="http://schemas.openxmlformats.org/officeDocument/2006/relationships/hyperlink" Target="https://www.fincen.gov/nprm-fact-sheet" TargetMode="External"/><Relationship Id="rId3" Type="http://schemas.openxmlformats.org/officeDocument/2006/relationships/styles" Target="styles.xml"/><Relationship Id="rId21" Type="http://schemas.openxmlformats.org/officeDocument/2006/relationships/hyperlink" Target="https://www.regulations.gov/document/FINCEN-2021-0005-0001/comment"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fincen.gov/sites/default/files/shared/31_CFR_1010_380_excerpt_from_Final_Rule.pdf" TargetMode="External"/><Relationship Id="rId17" Type="http://schemas.openxmlformats.org/officeDocument/2006/relationships/hyperlink" Target="https://www.fincen.gov/news/news-releases/fincen-issues-final-rule-regarding-access-beneficial-ownership-information" TargetMode="External"/><Relationship Id="rId25" Type="http://schemas.openxmlformats.org/officeDocument/2006/relationships/hyperlink" Target="https://www.regulations.gov/document/FINCEN-2021-0005-0462/comment"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fincen.gov/beneficial-ownership-information-reporting-rule-fact-sheet" TargetMode="External"/><Relationship Id="rId20" Type="http://schemas.openxmlformats.org/officeDocument/2006/relationships/hyperlink" Target="https://www.federalregister.gov/documents/2021/04/05/2021-06922/beneficial-ownership-information-reporting-requirements" TargetMode="External"/><Relationship Id="rId29" Type="http://schemas.openxmlformats.org/officeDocument/2006/relationships/hyperlink" Target="https://www.federalregister.gov/public-inspection/2024-16174/agency-information-collection-activities-proposals-submissions-and-approvals-beneficial-ownersh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nfo.gov/content/pkg/USCODE-2021-title31/pdf/USCODE-2021-title31-subtitleIV-chap53-subchapII-sec5336.pdf" TargetMode="External"/><Relationship Id="rId24" Type="http://schemas.openxmlformats.org/officeDocument/2006/relationships/hyperlink" Target="https://www.federalregister.gov/documents/2022/12/16/2022-27031/beneficial-ownership-information-access-and-safeguards-and-use-of-fincen-identifiers-for-entities"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federalregister.gov/documents/2022/09/30/2022-21020/beneficial-ownership-information-reporting-requirementsents" TargetMode="External"/><Relationship Id="rId23" Type="http://schemas.openxmlformats.org/officeDocument/2006/relationships/hyperlink" Target="https://www.regulations.gov/document/FINCEN-2021-0005-0217/comment" TargetMode="External"/><Relationship Id="rId28" Type="http://schemas.openxmlformats.org/officeDocument/2006/relationships/hyperlink" Target="https://www.federalregister.gov/public-inspection/2023-21325/agency-information-collection-activities-proposals-submissions-and-approvals-individual-fincen" TargetMode="External"/><Relationship Id="rId10" Type="http://schemas.openxmlformats.org/officeDocument/2006/relationships/hyperlink" Target="https://www.fincen.gov/sites/default/files/shared/Corporate_Transparency_Act.pdf" TargetMode="External"/><Relationship Id="rId19" Type="http://schemas.openxmlformats.org/officeDocument/2006/relationships/hyperlink" Target="https://www.federalregister.gov/public-inspection/2023-21226/beneficial-ownership-information-reporting-deadline-extension-for-reporting-companies-created-or" TargetMode="External"/><Relationship Id="rId31" Type="http://schemas.openxmlformats.org/officeDocument/2006/relationships/hyperlink" Target="https://www.fincen.gov/sites/default/files/shared/BOI_Access_and_Safeguards_SECG_508C.pdf" TargetMode="External"/><Relationship Id="rId4" Type="http://schemas.openxmlformats.org/officeDocument/2006/relationships/settings" Target="settings.xml"/><Relationship Id="rId9" Type="http://schemas.openxmlformats.org/officeDocument/2006/relationships/hyperlink" Target="https://www.fincen.gov/boi/toolkit" TargetMode="External"/><Relationship Id="rId14" Type="http://schemas.openxmlformats.org/officeDocument/2006/relationships/hyperlink" Target="https://www.federalregister.gov/public-inspection/2023-24559/use-of-fincen-identifiers-for-reporting-beneficial-ownership-information-of-entities" TargetMode="External"/><Relationship Id="rId22" Type="http://schemas.openxmlformats.org/officeDocument/2006/relationships/hyperlink" Target="https://www.federalregister.gov/documents/2021/12/08/2021-26548/beneficial-ownership-information-reporting-requirements" TargetMode="External"/><Relationship Id="rId27" Type="http://schemas.openxmlformats.org/officeDocument/2006/relationships/hyperlink" Target="https://www.federalregister.gov/public-inspection/2023-21293/agency-information-collection-activities-proposals-submissions-and-approvals-beneficial-ownership" TargetMode="External"/><Relationship Id="rId30" Type="http://schemas.openxmlformats.org/officeDocument/2006/relationships/hyperlink" Target="https://www.fincen.gov/boi/small-entity-compliance-guide" TargetMode="External"/><Relationship Id="rId35" Type="http://schemas.openxmlformats.org/officeDocument/2006/relationships/theme" Target="theme/theme1.xml"/><Relationship Id="rId8" Type="http://schemas.openxmlformats.org/officeDocument/2006/relationships/hyperlink" Target="https://www.fincen.gov/boi/Reference-materi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ED1DFF-47B7-4451-BA8D-B771BB648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2196</Words>
  <Characters>13836</Characters>
  <Application>Microsoft Office Word</Application>
  <DocSecurity>0</DocSecurity>
  <Lines>115</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Daniel Heinrich</cp:lastModifiedBy>
  <cp:revision>3</cp:revision>
  <cp:lastPrinted>2024-10-08T06:06:00Z</cp:lastPrinted>
  <dcterms:created xsi:type="dcterms:W3CDTF">2024-10-31T16:57:00Z</dcterms:created>
  <dcterms:modified xsi:type="dcterms:W3CDTF">2024-10-31T16:57:00Z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64b2804193c6116632546d537a5fd35b8781897c0d13018b8d6512ccfe68b7c5</vt:lpwstr>
  </property>
</Properties>
</file>